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68CE" w14:textId="596E2E0C" w:rsidR="008747A6" w:rsidRDefault="004661DA" w:rsidP="00652EB5">
      <w:pPr>
        <w:jc w:val="center"/>
        <w:rPr>
          <w:rFonts w:cs="Times New Roman"/>
          <w:b/>
          <w:bCs/>
          <w:sz w:val="48"/>
          <w:szCs w:val="48"/>
        </w:rPr>
      </w:pPr>
      <w:r>
        <w:rPr>
          <w:rFonts w:cs="Times New Roman"/>
          <w:b/>
          <w:bCs/>
          <w:sz w:val="48"/>
          <w:szCs w:val="48"/>
        </w:rPr>
        <w:t xml:space="preserve">COMPARISON OF THE </w:t>
      </w:r>
      <w:r w:rsidR="008747A6" w:rsidRPr="008747A6">
        <w:rPr>
          <w:rFonts w:cs="Times New Roman"/>
          <w:b/>
          <w:bCs/>
          <w:sz w:val="48"/>
          <w:szCs w:val="48"/>
        </w:rPr>
        <w:t>IMPACT OF COVID-19 PANDEMIC ON</w:t>
      </w:r>
      <w:r w:rsidR="000C0172">
        <w:rPr>
          <w:rFonts w:cs="Times New Roman"/>
          <w:b/>
          <w:bCs/>
          <w:sz w:val="48"/>
          <w:szCs w:val="48"/>
        </w:rPr>
        <w:t xml:space="preserve"> SMALL AND LARGE </w:t>
      </w:r>
      <w:r w:rsidR="008747A6" w:rsidRPr="008747A6">
        <w:rPr>
          <w:rFonts w:cs="Times New Roman"/>
          <w:b/>
          <w:bCs/>
          <w:sz w:val="48"/>
          <w:szCs w:val="48"/>
        </w:rPr>
        <w:t>IT</w:t>
      </w:r>
      <w:r w:rsidR="000C0172">
        <w:rPr>
          <w:rFonts w:cs="Times New Roman"/>
          <w:b/>
          <w:bCs/>
          <w:sz w:val="48"/>
          <w:szCs w:val="48"/>
        </w:rPr>
        <w:t xml:space="preserve"> FIRMS </w:t>
      </w:r>
      <w:r w:rsidR="008747A6" w:rsidRPr="008747A6">
        <w:rPr>
          <w:rFonts w:cs="Times New Roman"/>
          <w:b/>
          <w:bCs/>
          <w:sz w:val="48"/>
          <w:szCs w:val="48"/>
        </w:rPr>
        <w:t>IN INDIA</w:t>
      </w:r>
    </w:p>
    <w:p w14:paraId="4E04E834" w14:textId="36BFF809" w:rsidR="000C4A08" w:rsidRDefault="008747A6" w:rsidP="00652EB5">
      <w:pPr>
        <w:jc w:val="center"/>
        <w:rPr>
          <w:rFonts w:cs="Times New Roman"/>
          <w:sz w:val="28"/>
          <w:szCs w:val="28"/>
        </w:rPr>
      </w:pPr>
      <w:r>
        <w:rPr>
          <w:rFonts w:cs="Times New Roman"/>
          <w:sz w:val="28"/>
          <w:szCs w:val="28"/>
        </w:rPr>
        <w:t>Ashmil shas Ahammad</w:t>
      </w:r>
      <w:r w:rsidR="000C4A08">
        <w:rPr>
          <w:rStyle w:val="FootnoteReference"/>
          <w:rFonts w:cs="Times New Roman"/>
          <w:sz w:val="28"/>
          <w:szCs w:val="28"/>
        </w:rPr>
        <w:footnoteReference w:id="1"/>
      </w:r>
    </w:p>
    <w:p w14:paraId="7DD7546F" w14:textId="6274E8EC" w:rsidR="000C4A08" w:rsidRDefault="000C4A08" w:rsidP="00652EB5">
      <w:pPr>
        <w:jc w:val="center"/>
        <w:rPr>
          <w:rFonts w:cs="Times New Roman"/>
          <w:sz w:val="28"/>
          <w:szCs w:val="28"/>
        </w:rPr>
      </w:pPr>
      <w:r>
        <w:rPr>
          <w:rFonts w:cs="Times New Roman"/>
          <w:sz w:val="28"/>
          <w:szCs w:val="28"/>
        </w:rPr>
        <w:t>Department of Economics</w:t>
      </w:r>
    </w:p>
    <w:p w14:paraId="5A2AAD54" w14:textId="70A68055" w:rsidR="000C4A08" w:rsidRDefault="000C4A08" w:rsidP="00652EB5">
      <w:pPr>
        <w:jc w:val="center"/>
        <w:rPr>
          <w:rFonts w:cs="Times New Roman"/>
          <w:sz w:val="28"/>
          <w:szCs w:val="28"/>
        </w:rPr>
      </w:pPr>
      <w:r>
        <w:rPr>
          <w:rFonts w:cs="Times New Roman"/>
          <w:sz w:val="28"/>
          <w:szCs w:val="28"/>
        </w:rPr>
        <w:t>A</w:t>
      </w:r>
      <w:r w:rsidR="00DC0ED2">
        <w:rPr>
          <w:rFonts w:cs="Times New Roman"/>
          <w:sz w:val="28"/>
          <w:szCs w:val="28"/>
        </w:rPr>
        <w:t xml:space="preserve">ligarh Muslim University </w:t>
      </w:r>
    </w:p>
    <w:p w14:paraId="542FBEA8" w14:textId="77777777" w:rsidR="008747A6" w:rsidRDefault="008747A6">
      <w:pPr>
        <w:rPr>
          <w:rFonts w:cs="Times New Roman"/>
          <w:b/>
          <w:bCs/>
          <w:i/>
          <w:iCs/>
          <w:sz w:val="28"/>
          <w:szCs w:val="28"/>
        </w:rPr>
      </w:pPr>
    </w:p>
    <w:p w14:paraId="7AEE8C57" w14:textId="77777777" w:rsidR="008747A6" w:rsidRDefault="008747A6">
      <w:pPr>
        <w:rPr>
          <w:rFonts w:cs="Times New Roman"/>
          <w:b/>
          <w:bCs/>
          <w:i/>
          <w:iCs/>
          <w:sz w:val="28"/>
          <w:szCs w:val="28"/>
        </w:rPr>
      </w:pPr>
    </w:p>
    <w:p w14:paraId="66D2F10D" w14:textId="77777777" w:rsidR="008747A6" w:rsidRDefault="008747A6">
      <w:pPr>
        <w:rPr>
          <w:rFonts w:cs="Times New Roman"/>
          <w:b/>
          <w:bCs/>
          <w:i/>
          <w:iCs/>
          <w:sz w:val="28"/>
          <w:szCs w:val="28"/>
        </w:rPr>
      </w:pPr>
    </w:p>
    <w:p w14:paraId="6B260192" w14:textId="1DBCFE37" w:rsidR="00424F21" w:rsidRPr="00174B0B" w:rsidRDefault="00301933">
      <w:pPr>
        <w:rPr>
          <w:rFonts w:cs="Times New Roman"/>
          <w:b/>
          <w:bCs/>
          <w:i/>
          <w:iCs/>
          <w:sz w:val="28"/>
          <w:szCs w:val="28"/>
        </w:rPr>
      </w:pPr>
      <w:r w:rsidRPr="00174B0B">
        <w:rPr>
          <w:rFonts w:cs="Times New Roman"/>
          <w:b/>
          <w:bCs/>
          <w:i/>
          <w:iCs/>
          <w:sz w:val="28"/>
          <w:szCs w:val="28"/>
        </w:rPr>
        <w:t>ABSTRACT</w:t>
      </w:r>
      <w:r w:rsidR="00EA70F0">
        <w:rPr>
          <w:rFonts w:cs="Times New Roman"/>
          <w:b/>
          <w:bCs/>
          <w:i/>
          <w:iCs/>
          <w:sz w:val="28"/>
          <w:szCs w:val="28"/>
        </w:rPr>
        <w:t xml:space="preserve"> </w:t>
      </w:r>
    </w:p>
    <w:p w14:paraId="2C173686" w14:textId="49B81116" w:rsidR="00301933" w:rsidRPr="000C4A08" w:rsidRDefault="00AE6F13" w:rsidP="000C4A08">
      <w:pPr>
        <w:pStyle w:val="Abstract"/>
      </w:pPr>
      <w:r w:rsidRPr="000C4A08">
        <w:t xml:space="preserve">The </w:t>
      </w:r>
      <w:r w:rsidR="008747A6" w:rsidRPr="000C4A08">
        <w:t>C</w:t>
      </w:r>
      <w:r w:rsidRPr="000C4A08">
        <w:t>ovid-19 pandemic</w:t>
      </w:r>
      <w:r w:rsidR="00C53100" w:rsidRPr="000C4A08">
        <w:t xml:space="preserve"> had </w:t>
      </w:r>
      <w:r w:rsidR="009B7433" w:rsidRPr="000C4A08">
        <w:t xml:space="preserve">put </w:t>
      </w:r>
      <w:r w:rsidR="00C53100" w:rsidRPr="000C4A08">
        <w:t xml:space="preserve">every </w:t>
      </w:r>
      <w:r w:rsidR="00174B0B" w:rsidRPr="000C4A08">
        <w:t>economy</w:t>
      </w:r>
      <w:r w:rsidR="00C53100" w:rsidRPr="000C4A08">
        <w:t xml:space="preserve"> acr</w:t>
      </w:r>
      <w:r w:rsidR="00BA6AD8" w:rsidRPr="000C4A08">
        <w:t>o</w:t>
      </w:r>
      <w:r w:rsidR="00C53100" w:rsidRPr="000C4A08">
        <w:t xml:space="preserve">ss the world </w:t>
      </w:r>
      <w:r w:rsidR="006C0C24" w:rsidRPr="000C4A08">
        <w:t xml:space="preserve">out of the order </w:t>
      </w:r>
      <w:r w:rsidR="00C53100" w:rsidRPr="000C4A08">
        <w:t>and India is not an exception.</w:t>
      </w:r>
      <w:r w:rsidR="008F09B9" w:rsidRPr="000C4A08">
        <w:t xml:space="preserve"> </w:t>
      </w:r>
      <w:r w:rsidR="004C5A5F" w:rsidRPr="000C4A08">
        <w:t xml:space="preserve">IT industry </w:t>
      </w:r>
      <w:r w:rsidR="000C4A08">
        <w:t>has been</w:t>
      </w:r>
      <w:r w:rsidR="004C5A5F" w:rsidRPr="000C4A08">
        <w:t xml:space="preserve"> one of the booming </w:t>
      </w:r>
      <w:r w:rsidR="00174B0B" w:rsidRPr="000C4A08">
        <w:t>industries</w:t>
      </w:r>
      <w:r w:rsidR="004C5A5F" w:rsidRPr="000C4A08">
        <w:t xml:space="preserve"> with the record growth rates</w:t>
      </w:r>
      <w:r w:rsidR="000C6D18" w:rsidRPr="000C4A08">
        <w:t xml:space="preserve"> and new advancements every year</w:t>
      </w:r>
      <w:r w:rsidR="00E5466C" w:rsidRPr="000C4A08">
        <w:t xml:space="preserve">. Here, this paper evaluates how the pandemic has affected the </w:t>
      </w:r>
      <w:r w:rsidR="00733355" w:rsidRPr="000C4A08">
        <w:t xml:space="preserve">IT industry specifically in the areas </w:t>
      </w:r>
      <w:r w:rsidR="00B157D4" w:rsidRPr="000C4A08">
        <w:t>viz 1)</w:t>
      </w:r>
      <w:r w:rsidR="0068207D" w:rsidRPr="000C4A08">
        <w:t xml:space="preserve"> Profit after Tax 2) No of employees 3) Level of software exports</w:t>
      </w:r>
      <w:r w:rsidR="00BA6AD8" w:rsidRPr="000C4A08">
        <w:t xml:space="preserve"> by clearly differentiating the industry into Small and Large to </w:t>
      </w:r>
      <w:r w:rsidR="00C0358F" w:rsidRPr="000C4A08">
        <w:t>analyse the nature o</w:t>
      </w:r>
      <w:r w:rsidR="000C6D18" w:rsidRPr="000C4A08">
        <w:t>f</w:t>
      </w:r>
      <w:r w:rsidR="00C0358F" w:rsidRPr="000C4A08">
        <w:t xml:space="preserve"> impact</w:t>
      </w:r>
      <w:r w:rsidR="003A6330" w:rsidRPr="000C4A08">
        <w:t xml:space="preserve"> on</w:t>
      </w:r>
      <w:r w:rsidR="0071787F" w:rsidRPr="000C4A08">
        <w:t xml:space="preserve"> both the sections.</w:t>
      </w:r>
      <w:r w:rsidR="008F09B9" w:rsidRPr="000C4A08">
        <w:t xml:space="preserve"> </w:t>
      </w:r>
      <w:r w:rsidR="006721B4" w:rsidRPr="000C4A08">
        <w:t xml:space="preserve">Data of a sample of 1409 companies </w:t>
      </w:r>
      <w:r w:rsidR="00897192" w:rsidRPr="000C4A08">
        <w:t xml:space="preserve">has been taken </w:t>
      </w:r>
      <w:r w:rsidR="00174B0B" w:rsidRPr="000C4A08">
        <w:t>from Prowess</w:t>
      </w:r>
      <w:r w:rsidR="00897192" w:rsidRPr="000C4A08">
        <w:t xml:space="preserve"> IQ data base by Centre for Monitoring Indian Economy</w:t>
      </w:r>
      <w:r w:rsidR="00174B0B" w:rsidRPr="000C4A08">
        <w:t xml:space="preserve"> </w:t>
      </w:r>
      <w:r w:rsidR="00111B7B" w:rsidRPr="000C4A08">
        <w:t>(CMIE)</w:t>
      </w:r>
      <w:r w:rsidR="00174B0B" w:rsidRPr="000C4A08">
        <w:t>.</w:t>
      </w:r>
      <w:r w:rsidR="00AE6A5F" w:rsidRPr="000C4A08">
        <w:t xml:space="preserve"> The findings indicate that both large and small IT firms incurred substantial disruptions, however the magnitude of challenges differed significantly between two groups.</w:t>
      </w:r>
    </w:p>
    <w:p w14:paraId="659B58FC" w14:textId="1F01C1A4" w:rsidR="00AE6A5F" w:rsidRPr="000C4A08" w:rsidRDefault="00AE6A5F" w:rsidP="000C4A08">
      <w:pPr>
        <w:pStyle w:val="Abstract"/>
      </w:pPr>
      <w:r w:rsidRPr="000C4A08">
        <w:t>The results of the study will provide valu</w:t>
      </w:r>
      <w:r w:rsidR="008747A6" w:rsidRPr="000C4A08">
        <w:t>a</w:t>
      </w:r>
      <w:r w:rsidRPr="000C4A08">
        <w:t>ble insights to policy makers,</w:t>
      </w:r>
      <w:r w:rsidR="008747A6" w:rsidRPr="000C4A08">
        <w:t xml:space="preserve"> industr</w:t>
      </w:r>
      <w:r w:rsidRPr="000C4A08">
        <w:t>ialists etc</w:t>
      </w:r>
      <w:r w:rsidR="008747A6" w:rsidRPr="000C4A08">
        <w:t>.</w:t>
      </w:r>
      <w:r w:rsidRPr="000C4A08">
        <w:t>to formulate strategies for recovery for both the large and small firms after a sudden disruption in the economy. Also</w:t>
      </w:r>
      <w:r w:rsidR="008747A6" w:rsidRPr="000C4A08">
        <w:t>,</w:t>
      </w:r>
      <w:r w:rsidRPr="000C4A08">
        <w:t xml:space="preserve"> the research shows the adaptability and resilience of the sector </w:t>
      </w:r>
      <w:r w:rsidR="008747A6" w:rsidRPr="000C4A08">
        <w:t>just after an unprecedented global challenge.</w:t>
      </w:r>
    </w:p>
    <w:p w14:paraId="23905CFA" w14:textId="4FAFCAB2" w:rsidR="00533F4A" w:rsidRDefault="008747A6" w:rsidP="000C4A08">
      <w:pPr>
        <w:rPr>
          <w:rFonts w:cs="Times New Roman"/>
          <w:sz w:val="28"/>
          <w:szCs w:val="28"/>
        </w:rPr>
      </w:pPr>
      <w:r w:rsidRPr="000C4A08">
        <w:rPr>
          <w:rFonts w:cs="Times New Roman"/>
          <w:sz w:val="28"/>
          <w:szCs w:val="28"/>
        </w:rPr>
        <w:t xml:space="preserve">Keywords: Covid-19, IT Industry, Profit after Tax, Employees, Software Exports, Large and Small firms, Recovery. </w:t>
      </w:r>
    </w:p>
    <w:p w14:paraId="25FFFE4F" w14:textId="77777777" w:rsidR="00533F4A" w:rsidRDefault="00533F4A">
      <w:pPr>
        <w:spacing w:before="0" w:after="160" w:line="259" w:lineRule="auto"/>
        <w:jc w:val="left"/>
        <w:rPr>
          <w:rFonts w:cs="Times New Roman"/>
          <w:sz w:val="28"/>
          <w:szCs w:val="28"/>
        </w:rPr>
      </w:pPr>
      <w:r>
        <w:rPr>
          <w:rFonts w:cs="Times New Roman"/>
          <w:sz w:val="28"/>
          <w:szCs w:val="28"/>
        </w:rPr>
        <w:br w:type="page"/>
      </w:r>
    </w:p>
    <w:p w14:paraId="64F596D0" w14:textId="18DB9915" w:rsidR="00117671" w:rsidRPr="00E57214" w:rsidRDefault="00A97F67" w:rsidP="00254084">
      <w:pPr>
        <w:pStyle w:val="Heading1"/>
      </w:pPr>
      <w:r w:rsidRPr="00254084">
        <w:lastRenderedPageBreak/>
        <w:t>INDRODUCTION</w:t>
      </w:r>
    </w:p>
    <w:p w14:paraId="3CA79DED" w14:textId="2FEABE2B" w:rsidR="00A97F67" w:rsidRPr="00E57214" w:rsidRDefault="00A97F67">
      <w:pPr>
        <w:rPr>
          <w:rFonts w:cs="Times New Roman"/>
          <w:sz w:val="28"/>
          <w:szCs w:val="28"/>
        </w:rPr>
      </w:pPr>
      <w:r w:rsidRPr="00E57214">
        <w:rPr>
          <w:rFonts w:cs="Times New Roman"/>
          <w:sz w:val="28"/>
          <w:szCs w:val="28"/>
        </w:rPr>
        <w:t xml:space="preserve">The IT industry in India stood at US$177 in the year 2019 and it was assumed that it will grow up to US$ 350 by the year 2025. The </w:t>
      </w:r>
      <w:r w:rsidR="0098462F" w:rsidRPr="00E57214">
        <w:rPr>
          <w:rFonts w:cs="Times New Roman"/>
          <w:sz w:val="28"/>
          <w:szCs w:val="28"/>
        </w:rPr>
        <w:t>year-on-year</w:t>
      </w:r>
      <w:r w:rsidRPr="00E57214">
        <w:rPr>
          <w:rFonts w:cs="Times New Roman"/>
          <w:sz w:val="28"/>
          <w:szCs w:val="28"/>
        </w:rPr>
        <w:t xml:space="preserve"> growth of the industry was near to 6.00% every year.</w:t>
      </w:r>
      <w:r w:rsidR="0098462F" w:rsidRPr="00E57214">
        <w:rPr>
          <w:rFonts w:cs="Times New Roman"/>
          <w:sz w:val="28"/>
          <w:szCs w:val="28"/>
        </w:rPr>
        <w:t xml:space="preserve"> (</w:t>
      </w:r>
      <w:r w:rsidR="000C4A08">
        <w:rPr>
          <w:rFonts w:cs="Times New Roman"/>
          <w:sz w:val="28"/>
          <w:szCs w:val="28"/>
        </w:rPr>
        <w:t>IBEF, 2019</w:t>
      </w:r>
      <w:r w:rsidR="0098462F" w:rsidRPr="00E57214">
        <w:rPr>
          <w:rFonts w:cs="Times New Roman"/>
          <w:sz w:val="28"/>
          <w:szCs w:val="28"/>
        </w:rPr>
        <w:t>)</w:t>
      </w:r>
      <w:r w:rsidRPr="00E57214">
        <w:rPr>
          <w:rFonts w:cs="Times New Roman"/>
          <w:sz w:val="28"/>
          <w:szCs w:val="28"/>
        </w:rPr>
        <w:t xml:space="preserve"> There were a large number of policies </w:t>
      </w:r>
      <w:r w:rsidR="0098462F" w:rsidRPr="00E57214">
        <w:rPr>
          <w:rFonts w:cs="Times New Roman"/>
          <w:sz w:val="28"/>
          <w:szCs w:val="28"/>
        </w:rPr>
        <w:t>from the government side such as National policy on software products,2019 aimed to boost the growth and to redefine this sector to gain fruitful results for the economy at all. This paper tries to evaluate the impact of the pandemic on the sector by primarily focus on:</w:t>
      </w:r>
    </w:p>
    <w:p w14:paraId="05626A50" w14:textId="35744E90" w:rsidR="0098462F" w:rsidRPr="00E57214" w:rsidRDefault="0098462F" w:rsidP="0098462F">
      <w:pPr>
        <w:pStyle w:val="ListParagraph"/>
        <w:numPr>
          <w:ilvl w:val="0"/>
          <w:numId w:val="1"/>
        </w:numPr>
        <w:rPr>
          <w:rFonts w:cs="Times New Roman"/>
          <w:sz w:val="28"/>
          <w:szCs w:val="28"/>
        </w:rPr>
      </w:pPr>
      <w:r w:rsidRPr="00E57214">
        <w:rPr>
          <w:rFonts w:cs="Times New Roman"/>
          <w:sz w:val="28"/>
          <w:szCs w:val="28"/>
        </w:rPr>
        <w:t>How the pandemic affected the Profit of the industry</w:t>
      </w:r>
      <w:r w:rsidR="000C4A08">
        <w:rPr>
          <w:rFonts w:cs="Times New Roman"/>
          <w:sz w:val="28"/>
          <w:szCs w:val="28"/>
        </w:rPr>
        <w:t>?</w:t>
      </w:r>
    </w:p>
    <w:p w14:paraId="2B95310B" w14:textId="49F6AE6C" w:rsidR="0098462F" w:rsidRPr="00E57214" w:rsidRDefault="0098462F" w:rsidP="0098462F">
      <w:pPr>
        <w:pStyle w:val="ListParagraph"/>
        <w:numPr>
          <w:ilvl w:val="0"/>
          <w:numId w:val="1"/>
        </w:numPr>
        <w:rPr>
          <w:rFonts w:cs="Times New Roman"/>
          <w:sz w:val="28"/>
          <w:szCs w:val="28"/>
        </w:rPr>
      </w:pPr>
      <w:r w:rsidRPr="00E57214">
        <w:rPr>
          <w:rFonts w:cs="Times New Roman"/>
          <w:sz w:val="28"/>
          <w:szCs w:val="28"/>
        </w:rPr>
        <w:t>How the industry behaved by the number of employees owing to the pandemic</w:t>
      </w:r>
      <w:r w:rsidR="000C4A08">
        <w:rPr>
          <w:rFonts w:cs="Times New Roman"/>
          <w:sz w:val="28"/>
          <w:szCs w:val="28"/>
        </w:rPr>
        <w:t>?</w:t>
      </w:r>
    </w:p>
    <w:p w14:paraId="15872C65" w14:textId="47BA6634" w:rsidR="0098462F" w:rsidRPr="00E57214" w:rsidRDefault="0098462F" w:rsidP="0098462F">
      <w:pPr>
        <w:pStyle w:val="ListParagraph"/>
        <w:numPr>
          <w:ilvl w:val="0"/>
          <w:numId w:val="1"/>
        </w:numPr>
        <w:rPr>
          <w:rFonts w:cs="Times New Roman"/>
          <w:sz w:val="28"/>
          <w:szCs w:val="28"/>
        </w:rPr>
      </w:pPr>
      <w:r w:rsidRPr="00E57214">
        <w:rPr>
          <w:rFonts w:cs="Times New Roman"/>
          <w:sz w:val="28"/>
          <w:szCs w:val="28"/>
        </w:rPr>
        <w:t>What happened to the export of Software services due to the pandemic</w:t>
      </w:r>
      <w:r w:rsidR="000C4A08">
        <w:rPr>
          <w:rFonts w:cs="Times New Roman"/>
          <w:sz w:val="28"/>
          <w:szCs w:val="28"/>
        </w:rPr>
        <w:t>?</w:t>
      </w:r>
    </w:p>
    <w:p w14:paraId="7DBED769" w14:textId="77777777" w:rsidR="0098462F" w:rsidRDefault="0098462F" w:rsidP="0098462F">
      <w:pPr>
        <w:rPr>
          <w:rFonts w:cs="Times New Roman"/>
          <w:sz w:val="28"/>
          <w:szCs w:val="28"/>
        </w:rPr>
      </w:pPr>
      <w:r w:rsidRPr="00E57214">
        <w:rPr>
          <w:rFonts w:cs="Times New Roman"/>
          <w:sz w:val="28"/>
          <w:szCs w:val="28"/>
        </w:rPr>
        <w:t>The data for the same has been extracted from Prowess IQ software by Centre for Monitoring Indian Economy (CMIE) and</w:t>
      </w:r>
      <w:r w:rsidR="00A70134" w:rsidRPr="00E57214">
        <w:rPr>
          <w:rFonts w:cs="Times New Roman"/>
          <w:sz w:val="28"/>
          <w:szCs w:val="28"/>
        </w:rPr>
        <w:t xml:space="preserve"> </w:t>
      </w:r>
      <w:r w:rsidR="00CC7179" w:rsidRPr="00E57214">
        <w:rPr>
          <w:rFonts w:cs="Times New Roman"/>
          <w:sz w:val="28"/>
          <w:szCs w:val="28"/>
        </w:rPr>
        <w:t xml:space="preserve">this </w:t>
      </w:r>
      <w:r w:rsidR="00A70134" w:rsidRPr="00E57214">
        <w:rPr>
          <w:rFonts w:cs="Times New Roman"/>
          <w:sz w:val="28"/>
          <w:szCs w:val="28"/>
        </w:rPr>
        <w:t xml:space="preserve">paper </w:t>
      </w:r>
      <w:r w:rsidRPr="00E57214">
        <w:rPr>
          <w:rFonts w:cs="Times New Roman"/>
          <w:sz w:val="28"/>
          <w:szCs w:val="28"/>
        </w:rPr>
        <w:t xml:space="preserve">specifically </w:t>
      </w:r>
      <w:r w:rsidR="00A70134" w:rsidRPr="00E57214">
        <w:rPr>
          <w:rFonts w:cs="Times New Roman"/>
          <w:sz w:val="28"/>
          <w:szCs w:val="28"/>
        </w:rPr>
        <w:t>emphasis</w:t>
      </w:r>
      <w:r w:rsidRPr="00E57214">
        <w:rPr>
          <w:rFonts w:cs="Times New Roman"/>
          <w:sz w:val="28"/>
          <w:szCs w:val="28"/>
        </w:rPr>
        <w:t xml:space="preserve"> to focus on the impact of pandemic over these dimensions after classifying the industry into two; viz-a-viz, set of large companies and the set of small companies and the parameter used to classify is the ‘Size’ wh</w:t>
      </w:r>
      <w:r w:rsidR="0086356F" w:rsidRPr="00E57214">
        <w:rPr>
          <w:rFonts w:cs="Times New Roman"/>
          <w:sz w:val="28"/>
          <w:szCs w:val="28"/>
        </w:rPr>
        <w:t>ich is available as a pre-defined function in the dat</w:t>
      </w:r>
      <w:r w:rsidR="004F7F42" w:rsidRPr="00E57214">
        <w:rPr>
          <w:rFonts w:cs="Times New Roman"/>
          <w:sz w:val="28"/>
          <w:szCs w:val="28"/>
        </w:rPr>
        <w:t>a</w:t>
      </w:r>
      <w:r w:rsidR="0086356F" w:rsidRPr="00E57214">
        <w:rPr>
          <w:rFonts w:cs="Times New Roman"/>
          <w:sz w:val="28"/>
          <w:szCs w:val="28"/>
        </w:rPr>
        <w:t>base which is defined as the 3 Year Average of revenue and total assets.</w:t>
      </w:r>
      <w:r w:rsidR="008322C3" w:rsidRPr="00E57214">
        <w:rPr>
          <w:rFonts w:cs="Times New Roman"/>
          <w:sz w:val="28"/>
          <w:szCs w:val="28"/>
        </w:rPr>
        <w:t xml:space="preserve"> The target being to evaluate and differentiate the impact of a</w:t>
      </w:r>
      <w:r w:rsidR="00E321B6" w:rsidRPr="00E57214">
        <w:rPr>
          <w:rFonts w:cs="Times New Roman"/>
          <w:sz w:val="28"/>
          <w:szCs w:val="28"/>
        </w:rPr>
        <w:t xml:space="preserve"> sudden disruption </w:t>
      </w:r>
      <w:r w:rsidR="00376018" w:rsidRPr="00E57214">
        <w:rPr>
          <w:rFonts w:cs="Times New Roman"/>
          <w:sz w:val="28"/>
          <w:szCs w:val="28"/>
        </w:rPr>
        <w:t xml:space="preserve">in an economy in these two </w:t>
      </w:r>
      <w:r w:rsidR="00A70134" w:rsidRPr="00E57214">
        <w:rPr>
          <w:rFonts w:cs="Times New Roman"/>
          <w:sz w:val="28"/>
          <w:szCs w:val="28"/>
        </w:rPr>
        <w:t>sections</w:t>
      </w:r>
      <w:r w:rsidR="00376018" w:rsidRPr="00E57214">
        <w:rPr>
          <w:rFonts w:cs="Times New Roman"/>
          <w:sz w:val="28"/>
          <w:szCs w:val="28"/>
        </w:rPr>
        <w:t xml:space="preserve"> as both differs themselves in multiple domains such as </w:t>
      </w:r>
      <w:r w:rsidR="00F249D6" w:rsidRPr="00E57214">
        <w:rPr>
          <w:rFonts w:cs="Times New Roman"/>
          <w:sz w:val="28"/>
          <w:szCs w:val="28"/>
        </w:rPr>
        <w:t>number of employees, total market capitalization, governmental regulations, tax differences,</w:t>
      </w:r>
      <w:r w:rsidR="00890B5F" w:rsidRPr="00E57214">
        <w:rPr>
          <w:rFonts w:cs="Times New Roman"/>
          <w:sz w:val="28"/>
          <w:szCs w:val="28"/>
        </w:rPr>
        <w:t xml:space="preserve"> availability of credits etc.</w:t>
      </w:r>
      <w:r w:rsidR="0086356F" w:rsidRPr="00E57214">
        <w:rPr>
          <w:rFonts w:cs="Times New Roman"/>
          <w:sz w:val="28"/>
          <w:szCs w:val="28"/>
        </w:rPr>
        <w:t xml:space="preserve"> </w:t>
      </w:r>
    </w:p>
    <w:p w14:paraId="42202A10" w14:textId="77777777" w:rsidR="000C0172" w:rsidRDefault="000C0172" w:rsidP="000C0172">
      <w:pPr>
        <w:pStyle w:val="Heading1"/>
      </w:pPr>
      <w:r>
        <w:t>LITERATURE REVIEW</w:t>
      </w:r>
    </w:p>
    <w:p w14:paraId="66FA8CBD" w14:textId="77777777" w:rsidR="000C0172" w:rsidRDefault="000C0172" w:rsidP="000C0172">
      <w:pPr>
        <w:rPr>
          <w:rFonts w:cs="Times New Roman"/>
          <w:sz w:val="28"/>
          <w:szCs w:val="28"/>
        </w:rPr>
      </w:pPr>
      <w:r>
        <w:rPr>
          <w:rFonts w:cs="Times New Roman"/>
          <w:sz w:val="28"/>
          <w:szCs w:val="28"/>
        </w:rPr>
        <w:t xml:space="preserve">There </w:t>
      </w:r>
      <w:proofErr w:type="gramStart"/>
      <w:r>
        <w:rPr>
          <w:rFonts w:cs="Times New Roman"/>
          <w:sz w:val="28"/>
          <w:szCs w:val="28"/>
        </w:rPr>
        <w:t>has</w:t>
      </w:r>
      <w:proofErr w:type="gramEnd"/>
      <w:r>
        <w:rPr>
          <w:rFonts w:cs="Times New Roman"/>
          <w:sz w:val="28"/>
          <w:szCs w:val="28"/>
        </w:rPr>
        <w:t xml:space="preserve"> been multiple studies based on the factors affecting profitability of firms, employment generation and sustainability of employment and also the services exports. Camelia </w:t>
      </w:r>
      <w:proofErr w:type="spellStart"/>
      <w:r>
        <w:rPr>
          <w:rFonts w:cs="Times New Roman"/>
          <w:sz w:val="28"/>
          <w:szCs w:val="28"/>
        </w:rPr>
        <w:t>Burja</w:t>
      </w:r>
      <w:proofErr w:type="spellEnd"/>
      <w:r>
        <w:rPr>
          <w:rFonts w:cs="Times New Roman"/>
          <w:sz w:val="28"/>
          <w:szCs w:val="28"/>
        </w:rPr>
        <w:t xml:space="preserve"> (2011) through regression analysis figured out the factors which affects the profitability of firms emphasising on resource </w:t>
      </w:r>
      <w:r>
        <w:rPr>
          <w:rFonts w:cs="Times New Roman"/>
          <w:sz w:val="28"/>
          <w:szCs w:val="28"/>
        </w:rPr>
        <w:lastRenderedPageBreak/>
        <w:t>utilization, financial leverage, efficiency of capital, efficiency of inventories. Hence analysis of the impact of pandemic or any kind of a sudden economic disruption on these factors will give an idea regarding the impact of the same on the whole industry.  Nirmala Velan and Manzoor Hasan Malik (2019) studied the Software sector exports for the past and analysed the role of Government policies for the booming of the same. Also, they focused on the dynamics of Software exports and Gross Domestic Product of the country.</w:t>
      </w:r>
    </w:p>
    <w:p w14:paraId="34F62233" w14:textId="77777777" w:rsidR="000C0172" w:rsidRDefault="000C0172" w:rsidP="000C0172">
      <w:pPr>
        <w:rPr>
          <w:rFonts w:cs="Times New Roman"/>
          <w:sz w:val="28"/>
          <w:szCs w:val="28"/>
        </w:rPr>
      </w:pPr>
      <w:r>
        <w:rPr>
          <w:rFonts w:cs="Times New Roman"/>
          <w:sz w:val="28"/>
          <w:szCs w:val="28"/>
        </w:rPr>
        <w:t xml:space="preserve">Richard </w:t>
      </w:r>
      <w:proofErr w:type="spellStart"/>
      <w:r>
        <w:rPr>
          <w:rFonts w:cs="Times New Roman"/>
          <w:sz w:val="28"/>
          <w:szCs w:val="28"/>
        </w:rPr>
        <w:t>Heeks</w:t>
      </w:r>
      <w:proofErr w:type="spellEnd"/>
      <w:r>
        <w:rPr>
          <w:rFonts w:cs="Times New Roman"/>
          <w:sz w:val="28"/>
          <w:szCs w:val="28"/>
        </w:rPr>
        <w:t xml:space="preserve"> and Brian Nicholson (2004) studied the software exports success factors of the countries India, Ireland and Israel.  From a sole disruption point of view, </w:t>
      </w:r>
      <w:proofErr w:type="spellStart"/>
      <w:r>
        <w:rPr>
          <w:rFonts w:cs="Times New Roman"/>
          <w:sz w:val="28"/>
          <w:szCs w:val="28"/>
        </w:rPr>
        <w:t>Veeramani</w:t>
      </w:r>
      <w:proofErr w:type="spellEnd"/>
      <w:r>
        <w:rPr>
          <w:rFonts w:cs="Times New Roman"/>
          <w:sz w:val="28"/>
          <w:szCs w:val="28"/>
        </w:rPr>
        <w:t xml:space="preserve"> Lingam and Anam (2021) studied the impact of the Covid-19 pandemic on the export of services and the study opines that compared to other economies, India’s service sector exports were less affected by the pandemic. </w:t>
      </w:r>
      <w:proofErr w:type="spellStart"/>
      <w:r>
        <w:rPr>
          <w:rFonts w:cs="Times New Roman"/>
          <w:sz w:val="28"/>
          <w:szCs w:val="28"/>
        </w:rPr>
        <w:t>Tejindar</w:t>
      </w:r>
      <w:proofErr w:type="spellEnd"/>
      <w:r>
        <w:rPr>
          <w:rFonts w:cs="Times New Roman"/>
          <w:sz w:val="28"/>
          <w:szCs w:val="28"/>
        </w:rPr>
        <w:t xml:space="preserve"> Singh (2020) studied the impact of the pandemic on IT sector in India and </w:t>
      </w:r>
      <w:proofErr w:type="gramStart"/>
      <w:r>
        <w:rPr>
          <w:rFonts w:cs="Times New Roman"/>
          <w:sz w:val="28"/>
          <w:szCs w:val="28"/>
        </w:rPr>
        <w:t>it’s</w:t>
      </w:r>
      <w:proofErr w:type="gramEnd"/>
      <w:r>
        <w:rPr>
          <w:rFonts w:cs="Times New Roman"/>
          <w:sz w:val="28"/>
          <w:szCs w:val="28"/>
        </w:rPr>
        <w:t xml:space="preserve"> replication in the Nifty index. </w:t>
      </w:r>
      <w:proofErr w:type="spellStart"/>
      <w:r>
        <w:rPr>
          <w:rFonts w:cs="Times New Roman"/>
          <w:sz w:val="28"/>
          <w:szCs w:val="28"/>
        </w:rPr>
        <w:t>Yanquing</w:t>
      </w:r>
      <w:proofErr w:type="spellEnd"/>
      <w:r>
        <w:rPr>
          <w:rFonts w:cs="Times New Roman"/>
          <w:sz w:val="28"/>
          <w:szCs w:val="28"/>
        </w:rPr>
        <w:t xml:space="preserve"> Lai, George </w:t>
      </w:r>
      <w:proofErr w:type="spellStart"/>
      <w:r>
        <w:rPr>
          <w:rFonts w:cs="Times New Roman"/>
          <w:sz w:val="28"/>
          <w:szCs w:val="28"/>
        </w:rPr>
        <w:t>Saridakis</w:t>
      </w:r>
      <w:proofErr w:type="spellEnd"/>
      <w:r>
        <w:rPr>
          <w:rFonts w:cs="Times New Roman"/>
          <w:sz w:val="28"/>
          <w:szCs w:val="28"/>
        </w:rPr>
        <w:t>, Robert Blackburn and Stewart Johnstone (2016) evaluate the impact of a financial crisis on the operational activity and job experience of the employees in large and small firms. P.W Daniels (2000) focused on the countywide differences that cause variation in export of services and figured out factors such as regulatory and infrastructural terms aiding this. Study by Simon Commander (2011) evaluates the effects of institutional and policy environment on IT investments.</w:t>
      </w:r>
    </w:p>
    <w:p w14:paraId="618ADBD0" w14:textId="77777777" w:rsidR="000C0172" w:rsidRDefault="000C0172" w:rsidP="000C0172">
      <w:pPr>
        <w:rPr>
          <w:rFonts w:cs="Times New Roman"/>
          <w:sz w:val="28"/>
          <w:szCs w:val="28"/>
        </w:rPr>
        <w:sectPr w:rsidR="000C0172" w:rsidSect="000C0172">
          <w:footerReference w:type="default" r:id="rId8"/>
          <w:footnotePr>
            <w:numFmt w:val="chicago"/>
            <w:numRestart w:val="eachSect"/>
          </w:footnotePr>
          <w:pgSz w:w="11906" w:h="16838"/>
          <w:pgMar w:top="1440" w:right="1440" w:bottom="1440" w:left="1440" w:header="708" w:footer="708" w:gutter="0"/>
          <w:cols w:space="708"/>
          <w:docGrid w:linePitch="360"/>
        </w:sectPr>
      </w:pPr>
      <w:r>
        <w:rPr>
          <w:rFonts w:cs="Times New Roman"/>
          <w:sz w:val="28"/>
          <w:szCs w:val="28"/>
        </w:rPr>
        <w:t>Since these studies extend from pervasive topics and are based on different localities of research, these are inconclusive for my research area. Also, this signifies my study on the topic which should point straight towards meaningful inferences. That it, my study consolidates how a disruption in an economy such as a pandemic affects Small and Large IT Firms differently after understanding on the domains of profitability, employment level and exports separately by understanding the methodologies and inferences received from these studies, hence it will stand unique.</w:t>
      </w:r>
    </w:p>
    <w:p w14:paraId="5BF0DB76" w14:textId="77777777" w:rsidR="000C0172" w:rsidRPr="00E57214" w:rsidRDefault="000C0172" w:rsidP="0098462F">
      <w:pPr>
        <w:rPr>
          <w:rFonts w:cs="Times New Roman"/>
          <w:sz w:val="28"/>
          <w:szCs w:val="28"/>
        </w:rPr>
      </w:pPr>
    </w:p>
    <w:p w14:paraId="3E2743FB" w14:textId="77777777" w:rsidR="000962C2" w:rsidRPr="00255889" w:rsidRDefault="000962C2" w:rsidP="000C4A08">
      <w:pPr>
        <w:pStyle w:val="Heading1"/>
      </w:pPr>
      <w:r w:rsidRPr="00255889">
        <w:t>CLASSIFICATION</w:t>
      </w:r>
      <w:r w:rsidR="00992DBE" w:rsidRPr="00255889">
        <w:t xml:space="preserve"> AND ITS SIGNIFICANCE</w:t>
      </w:r>
    </w:p>
    <w:p w14:paraId="0367DCA3" w14:textId="1094DB3C" w:rsidR="000962C2" w:rsidRPr="00E57214" w:rsidRDefault="00C87EF6" w:rsidP="005942EC">
      <w:pPr>
        <w:rPr>
          <w:rFonts w:cs="Times New Roman"/>
          <w:sz w:val="28"/>
          <w:szCs w:val="28"/>
        </w:rPr>
      </w:pPr>
      <w:r w:rsidRPr="00E57214">
        <w:rPr>
          <w:rFonts w:cs="Times New Roman"/>
          <w:sz w:val="28"/>
          <w:szCs w:val="28"/>
        </w:rPr>
        <w:t>The Prowess D</w:t>
      </w:r>
      <w:r w:rsidR="00997220" w:rsidRPr="00E57214">
        <w:rPr>
          <w:rFonts w:cs="Times New Roman"/>
          <w:sz w:val="28"/>
          <w:szCs w:val="28"/>
        </w:rPr>
        <w:t>a</w:t>
      </w:r>
      <w:r w:rsidRPr="00E57214">
        <w:rPr>
          <w:rFonts w:cs="Times New Roman"/>
          <w:sz w:val="28"/>
          <w:szCs w:val="28"/>
        </w:rPr>
        <w:t>tabase inculcates both</w:t>
      </w:r>
      <w:r w:rsidR="00C36563" w:rsidRPr="00E57214">
        <w:rPr>
          <w:rFonts w:cs="Times New Roman"/>
          <w:sz w:val="28"/>
          <w:szCs w:val="28"/>
        </w:rPr>
        <w:t xml:space="preserve"> Software sector and ITES</w:t>
      </w:r>
      <w:r w:rsidR="00DC0ED2">
        <w:rPr>
          <w:rFonts w:cs="Times New Roman"/>
          <w:sz w:val="28"/>
          <w:szCs w:val="28"/>
        </w:rPr>
        <w:t xml:space="preserve"> </w:t>
      </w:r>
      <w:r w:rsidR="001D53F1" w:rsidRPr="00E57214">
        <w:rPr>
          <w:rFonts w:cs="Times New Roman"/>
          <w:sz w:val="28"/>
          <w:szCs w:val="28"/>
        </w:rPr>
        <w:t>(Information Technology Enabled Services) in the IT Indust</w:t>
      </w:r>
      <w:r w:rsidR="00997220" w:rsidRPr="00E57214">
        <w:rPr>
          <w:rFonts w:cs="Times New Roman"/>
          <w:sz w:val="28"/>
          <w:szCs w:val="28"/>
        </w:rPr>
        <w:t>r</w:t>
      </w:r>
      <w:r w:rsidR="001D53F1" w:rsidRPr="00E57214">
        <w:rPr>
          <w:rFonts w:cs="Times New Roman"/>
          <w:sz w:val="28"/>
          <w:szCs w:val="28"/>
        </w:rPr>
        <w:t xml:space="preserve">y </w:t>
      </w:r>
      <w:r w:rsidR="00B774EA" w:rsidRPr="00E57214">
        <w:rPr>
          <w:rFonts w:cs="Times New Roman"/>
          <w:sz w:val="28"/>
          <w:szCs w:val="28"/>
        </w:rPr>
        <w:t>and</w:t>
      </w:r>
      <w:r w:rsidR="00B774EA" w:rsidRPr="00E57214">
        <w:rPr>
          <w:sz w:val="28"/>
          <w:szCs w:val="28"/>
        </w:rPr>
        <w:t xml:space="preserve"> </w:t>
      </w:r>
      <w:r w:rsidR="00B774EA" w:rsidRPr="00E57214">
        <w:rPr>
          <w:rFonts w:cs="Times New Roman"/>
          <w:sz w:val="28"/>
          <w:szCs w:val="28"/>
        </w:rPr>
        <w:t xml:space="preserve">the samples that have chosen </w:t>
      </w:r>
      <w:r w:rsidR="00FD49D1" w:rsidRPr="00E57214">
        <w:rPr>
          <w:rFonts w:cs="Times New Roman"/>
          <w:sz w:val="28"/>
          <w:szCs w:val="28"/>
        </w:rPr>
        <w:t xml:space="preserve">has a strength of </w:t>
      </w:r>
      <w:r w:rsidR="00997220" w:rsidRPr="00E57214">
        <w:rPr>
          <w:rFonts w:cs="Times New Roman"/>
          <w:sz w:val="28"/>
          <w:szCs w:val="28"/>
        </w:rPr>
        <w:t>1409 companies.</w:t>
      </w:r>
      <w:r w:rsidR="00FE4499" w:rsidRPr="00E57214">
        <w:rPr>
          <w:rFonts w:cs="Times New Roman"/>
          <w:sz w:val="28"/>
          <w:szCs w:val="28"/>
        </w:rPr>
        <w:t xml:space="preserve"> Based on the </w:t>
      </w:r>
      <w:r w:rsidR="001962BC" w:rsidRPr="00E57214">
        <w:rPr>
          <w:rFonts w:cs="Times New Roman"/>
          <w:sz w:val="28"/>
          <w:szCs w:val="28"/>
        </w:rPr>
        <w:t>size of th</w:t>
      </w:r>
      <w:r w:rsidR="000B0AAF" w:rsidRPr="00E57214">
        <w:rPr>
          <w:rFonts w:cs="Times New Roman"/>
          <w:sz w:val="28"/>
          <w:szCs w:val="28"/>
        </w:rPr>
        <w:t xml:space="preserve">e </w:t>
      </w:r>
      <w:r w:rsidR="001962BC" w:rsidRPr="00E57214">
        <w:rPr>
          <w:rFonts w:cs="Times New Roman"/>
          <w:sz w:val="28"/>
          <w:szCs w:val="28"/>
        </w:rPr>
        <w:t xml:space="preserve">companies, they are </w:t>
      </w:r>
      <w:r w:rsidR="000B0AAF" w:rsidRPr="00E57214">
        <w:rPr>
          <w:rFonts w:cs="Times New Roman"/>
          <w:sz w:val="28"/>
          <w:szCs w:val="28"/>
        </w:rPr>
        <w:t>divided</w:t>
      </w:r>
      <w:r w:rsidR="001962BC" w:rsidRPr="00E57214">
        <w:rPr>
          <w:rFonts w:cs="Times New Roman"/>
          <w:sz w:val="28"/>
          <w:szCs w:val="28"/>
        </w:rPr>
        <w:t xml:space="preserve"> into two. </w:t>
      </w:r>
      <w:r w:rsidR="001D26E4" w:rsidRPr="00E57214">
        <w:rPr>
          <w:rFonts w:cs="Times New Roman"/>
          <w:sz w:val="28"/>
          <w:szCs w:val="28"/>
        </w:rPr>
        <w:t>Size is</w:t>
      </w:r>
      <w:r w:rsidR="001D26E4" w:rsidRPr="00E57214">
        <w:rPr>
          <w:sz w:val="28"/>
          <w:szCs w:val="28"/>
        </w:rPr>
        <w:t xml:space="preserve"> </w:t>
      </w:r>
      <w:r w:rsidR="001D26E4" w:rsidRPr="00E57214">
        <w:rPr>
          <w:rFonts w:cs="Times New Roman"/>
          <w:sz w:val="28"/>
          <w:szCs w:val="28"/>
        </w:rPr>
        <w:t xml:space="preserve">a measure that inculcates both assets and revenue of the company </w:t>
      </w:r>
      <w:r w:rsidR="00C111A6" w:rsidRPr="00E57214">
        <w:rPr>
          <w:rFonts w:cs="Times New Roman"/>
          <w:sz w:val="28"/>
          <w:szCs w:val="28"/>
        </w:rPr>
        <w:t>based on the logic that</w:t>
      </w:r>
      <w:r w:rsidR="008F5FDC" w:rsidRPr="00E57214">
        <w:rPr>
          <w:rFonts w:cs="Times New Roman"/>
          <w:sz w:val="28"/>
          <w:szCs w:val="28"/>
        </w:rPr>
        <w:t>,</w:t>
      </w:r>
      <w:r w:rsidR="00C111A6" w:rsidRPr="00E57214">
        <w:rPr>
          <w:rFonts w:cs="Times New Roman"/>
          <w:sz w:val="28"/>
          <w:szCs w:val="28"/>
        </w:rPr>
        <w:t xml:space="preserve"> </w:t>
      </w:r>
      <w:r w:rsidR="00615D07" w:rsidRPr="00E57214">
        <w:rPr>
          <w:rFonts w:cs="Times New Roman"/>
          <w:sz w:val="28"/>
          <w:szCs w:val="28"/>
        </w:rPr>
        <w:t xml:space="preserve">to quote from the Prowess dictionary, </w:t>
      </w:r>
      <w:r w:rsidR="00A87798" w:rsidRPr="00E57214">
        <w:rPr>
          <w:rFonts w:cs="Times New Roman"/>
          <w:sz w:val="28"/>
          <w:szCs w:val="28"/>
        </w:rPr>
        <w:t>“</w:t>
      </w:r>
      <w:r w:rsidR="005942EC" w:rsidRPr="00E57214">
        <w:rPr>
          <w:rFonts w:cs="Times New Roman"/>
          <w:sz w:val="28"/>
          <w:szCs w:val="28"/>
        </w:rPr>
        <w:t>Interestingly, the problems in sales and assets as measures of size offset each other and thus a combination of the</w:t>
      </w:r>
      <w:r w:rsidR="00615D07" w:rsidRPr="00E57214">
        <w:rPr>
          <w:rFonts w:cs="Times New Roman"/>
          <w:sz w:val="28"/>
          <w:szCs w:val="28"/>
        </w:rPr>
        <w:t xml:space="preserve"> </w:t>
      </w:r>
      <w:r w:rsidR="005942EC" w:rsidRPr="00E57214">
        <w:rPr>
          <w:rFonts w:cs="Times New Roman"/>
          <w:sz w:val="28"/>
          <w:szCs w:val="28"/>
        </w:rPr>
        <w:t>two is a good measure of the size of a company. While sales are vulnerable to business cycles, assets are not. While</w:t>
      </w:r>
      <w:r w:rsidR="00615D07" w:rsidRPr="00E57214">
        <w:rPr>
          <w:rFonts w:cs="Times New Roman"/>
          <w:sz w:val="28"/>
          <w:szCs w:val="28"/>
        </w:rPr>
        <w:t xml:space="preserve"> </w:t>
      </w:r>
      <w:r w:rsidR="005942EC" w:rsidRPr="00E57214">
        <w:rPr>
          <w:rFonts w:cs="Times New Roman"/>
          <w:sz w:val="28"/>
          <w:szCs w:val="28"/>
        </w:rPr>
        <w:t>assets understate the importance of the services sector, sales do not. While assets have a valuation problem, sales</w:t>
      </w:r>
      <w:r w:rsidR="00A87798" w:rsidRPr="00E57214">
        <w:rPr>
          <w:rFonts w:cs="Times New Roman"/>
          <w:sz w:val="28"/>
          <w:szCs w:val="28"/>
        </w:rPr>
        <w:t xml:space="preserve"> </w:t>
      </w:r>
      <w:r w:rsidR="00DC0ED2" w:rsidRPr="00E57214">
        <w:rPr>
          <w:rFonts w:cs="Times New Roman"/>
          <w:sz w:val="28"/>
          <w:szCs w:val="28"/>
        </w:rPr>
        <w:t>are</w:t>
      </w:r>
      <w:r w:rsidR="005942EC" w:rsidRPr="00E57214">
        <w:rPr>
          <w:rFonts w:cs="Times New Roman"/>
          <w:sz w:val="28"/>
          <w:szCs w:val="28"/>
        </w:rPr>
        <w:t xml:space="preserve"> the least controversial. Sales and assets, therefore are complimentary measures in many ways in determining the</w:t>
      </w:r>
      <w:r w:rsidR="00A87798" w:rsidRPr="00E57214">
        <w:rPr>
          <w:rFonts w:cs="Times New Roman"/>
          <w:sz w:val="28"/>
          <w:szCs w:val="28"/>
        </w:rPr>
        <w:t xml:space="preserve"> </w:t>
      </w:r>
      <w:r w:rsidR="005942EC" w:rsidRPr="00E57214">
        <w:rPr>
          <w:rFonts w:cs="Times New Roman"/>
          <w:sz w:val="28"/>
          <w:szCs w:val="28"/>
        </w:rPr>
        <w:t>size of a company.</w:t>
      </w:r>
      <w:r w:rsidR="00A87798" w:rsidRPr="00E57214">
        <w:rPr>
          <w:rFonts w:cs="Times New Roman"/>
          <w:sz w:val="28"/>
          <w:szCs w:val="28"/>
        </w:rPr>
        <w:t>”</w:t>
      </w:r>
      <w:r w:rsidR="00552E04">
        <w:rPr>
          <w:rFonts w:cs="Times New Roman"/>
          <w:sz w:val="28"/>
          <w:szCs w:val="28"/>
        </w:rPr>
        <w:t xml:space="preserve"> </w:t>
      </w:r>
      <w:r w:rsidR="00A87798" w:rsidRPr="00E57214">
        <w:rPr>
          <w:rFonts w:cs="Times New Roman"/>
          <w:sz w:val="28"/>
          <w:szCs w:val="28"/>
        </w:rPr>
        <w:t>(</w:t>
      </w:r>
      <w:r w:rsidR="00552E04">
        <w:rPr>
          <w:rFonts w:cs="Times New Roman"/>
          <w:sz w:val="28"/>
          <w:szCs w:val="28"/>
        </w:rPr>
        <w:t>Prowess IQ dictionary</w:t>
      </w:r>
      <w:r w:rsidR="008F5FDC" w:rsidRPr="00E57214">
        <w:rPr>
          <w:rFonts w:cs="Times New Roman"/>
          <w:sz w:val="28"/>
          <w:szCs w:val="28"/>
        </w:rPr>
        <w:t>)</w:t>
      </w:r>
    </w:p>
    <w:p w14:paraId="798C6643" w14:textId="2773BF09" w:rsidR="008F1A85" w:rsidRPr="00E57214" w:rsidRDefault="006A6C95" w:rsidP="005942EC">
      <w:pPr>
        <w:rPr>
          <w:rFonts w:cs="Times New Roman"/>
          <w:sz w:val="28"/>
          <w:szCs w:val="28"/>
        </w:rPr>
      </w:pPr>
      <w:r>
        <w:rPr>
          <w:noProof/>
        </w:rPr>
        <mc:AlternateContent>
          <mc:Choice Requires="wps">
            <w:drawing>
              <wp:anchor distT="0" distB="0" distL="114300" distR="114300" simplePos="0" relativeHeight="251673600" behindDoc="0" locked="0" layoutInCell="1" allowOverlap="1" wp14:anchorId="158A2815" wp14:editId="3BE02A91">
                <wp:simplePos x="0" y="0"/>
                <wp:positionH relativeFrom="column">
                  <wp:posOffset>518160</wp:posOffset>
                </wp:positionH>
                <wp:positionV relativeFrom="paragraph">
                  <wp:posOffset>4223385</wp:posOffset>
                </wp:positionV>
                <wp:extent cx="4640580" cy="635"/>
                <wp:effectExtent l="0" t="0" r="0" b="0"/>
                <wp:wrapTopAndBottom/>
                <wp:docPr id="1073942305" name="Text Box 1"/>
                <wp:cNvGraphicFramePr/>
                <a:graphic xmlns:a="http://schemas.openxmlformats.org/drawingml/2006/main">
                  <a:graphicData uri="http://schemas.microsoft.com/office/word/2010/wordprocessingShape">
                    <wps:wsp>
                      <wps:cNvSpPr txBox="1"/>
                      <wps:spPr>
                        <a:xfrm>
                          <a:off x="0" y="0"/>
                          <a:ext cx="4640580" cy="635"/>
                        </a:xfrm>
                        <a:prstGeom prst="rect">
                          <a:avLst/>
                        </a:prstGeom>
                        <a:solidFill>
                          <a:prstClr val="white"/>
                        </a:solidFill>
                        <a:ln>
                          <a:noFill/>
                        </a:ln>
                      </wps:spPr>
                      <wps:txbx>
                        <w:txbxContent>
                          <w:p w14:paraId="6304096D" w14:textId="15B69198" w:rsidR="006A6C95" w:rsidRPr="00906803" w:rsidRDefault="006A6C95" w:rsidP="006A6C95">
                            <w:pPr>
                              <w:pStyle w:val="Caption"/>
                              <w:rPr>
                                <w:rFonts w:cs="Times New Roman"/>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1</w:t>
                            </w:r>
                            <w:r w:rsidRPr="00906803">
                              <w:rPr>
                                <w:sz w:val="24"/>
                                <w:szCs w:val="24"/>
                              </w:rPr>
                              <w:fldChar w:fldCharType="end"/>
                            </w:r>
                            <w:r w:rsidRPr="00906803">
                              <w:rPr>
                                <w:sz w:val="24"/>
                                <w:szCs w:val="24"/>
                              </w:rPr>
                              <w:t>:Classification of Firms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8A2815" id="_x0000_t202" coordsize="21600,21600" o:spt="202" path="m,l,21600r21600,l21600,xe">
                <v:stroke joinstyle="miter"/>
                <v:path gradientshapeok="t" o:connecttype="rect"/>
              </v:shapetype>
              <v:shape id="Text Box 1" o:spid="_x0000_s1026" type="#_x0000_t202" style="position:absolute;left:0;text-align:left;margin-left:40.8pt;margin-top:332.55pt;width:365.4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" stroked="f">
                <v:textbox style="mso-fit-shape-to-text:t" inset="0,0,0,0">
                  <w:txbxContent>
                    <w:p w14:paraId="6304096D" w14:textId="15B69198" w:rsidR="006A6C95" w:rsidRPr="00906803" w:rsidRDefault="006A6C95" w:rsidP="006A6C95">
                      <w:pPr>
                        <w:pStyle w:val="Caption"/>
                        <w:rPr>
                          <w:rFonts w:cs="Times New Roman"/>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1</w:t>
                      </w:r>
                      <w:r w:rsidRPr="00906803">
                        <w:rPr>
                          <w:sz w:val="24"/>
                          <w:szCs w:val="24"/>
                        </w:rPr>
                        <w:fldChar w:fldCharType="end"/>
                      </w:r>
                      <w:r w:rsidRPr="00906803">
                        <w:rPr>
                          <w:sz w:val="24"/>
                          <w:szCs w:val="24"/>
                        </w:rPr>
                        <w:t>:Classification of Firms</w:t>
                      </w:r>
                    </w:p>
                  </w:txbxContent>
                </v:textbox>
                <w10:wrap type="topAndBottom"/>
              </v:shape>
            </w:pict>
          </mc:Fallback>
        </mc:AlternateContent>
      </w:r>
      <w:r w:rsidR="00886734" w:rsidRPr="00E57214">
        <w:rPr>
          <w:rFonts w:cs="Times New Roman"/>
          <w:noProof/>
          <w:sz w:val="28"/>
          <w:szCs w:val="28"/>
        </w:rPr>
        <w:drawing>
          <wp:anchor distT="0" distB="0" distL="114300" distR="114300" simplePos="0" relativeHeight="251671552" behindDoc="0" locked="0" layoutInCell="1" allowOverlap="1" wp14:anchorId="6C64EEF8" wp14:editId="61D80F6F">
            <wp:simplePos x="0" y="0"/>
            <wp:positionH relativeFrom="column">
              <wp:posOffset>518160</wp:posOffset>
            </wp:positionH>
            <wp:positionV relativeFrom="paragraph">
              <wp:posOffset>1011555</wp:posOffset>
            </wp:positionV>
            <wp:extent cx="4640580" cy="3154680"/>
            <wp:effectExtent l="0" t="0" r="7620" b="7620"/>
            <wp:wrapTopAndBottom/>
            <wp:docPr id="1880837567" name="Chart 1">
              <a:extLst xmlns:a="http://schemas.openxmlformats.org/drawingml/2006/main">
                <a:ext uri="{FF2B5EF4-FFF2-40B4-BE49-F238E27FC236}">
                  <a16:creationId xmlns:a16="http://schemas.microsoft.com/office/drawing/2014/main" id="{CADFFB44-004A-4C1F-8E3A-27FE0A345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448E2" w:rsidRPr="00E57214">
        <w:rPr>
          <w:rFonts w:cs="Times New Roman"/>
          <w:sz w:val="28"/>
          <w:szCs w:val="28"/>
        </w:rPr>
        <w:t xml:space="preserve">The companies having the size less than 100 crore INR are classified as </w:t>
      </w:r>
      <w:r w:rsidR="006A58FC" w:rsidRPr="00E57214">
        <w:rPr>
          <w:rFonts w:cs="Times New Roman"/>
          <w:sz w:val="28"/>
          <w:szCs w:val="28"/>
        </w:rPr>
        <w:t>‘</w:t>
      </w:r>
      <w:r w:rsidR="000448E2" w:rsidRPr="00E57214">
        <w:rPr>
          <w:rFonts w:cs="Times New Roman"/>
          <w:sz w:val="28"/>
          <w:szCs w:val="28"/>
        </w:rPr>
        <w:t>Small firms</w:t>
      </w:r>
      <w:r w:rsidR="006A58FC" w:rsidRPr="00E57214">
        <w:rPr>
          <w:rFonts w:cs="Times New Roman"/>
          <w:sz w:val="28"/>
          <w:szCs w:val="28"/>
        </w:rPr>
        <w:t>’</w:t>
      </w:r>
      <w:r w:rsidR="000448E2" w:rsidRPr="00E57214">
        <w:rPr>
          <w:rFonts w:cs="Times New Roman"/>
          <w:sz w:val="28"/>
          <w:szCs w:val="28"/>
        </w:rPr>
        <w:t xml:space="preserve"> and those above 100 crores INR are classified as </w:t>
      </w:r>
      <w:r w:rsidR="006A58FC" w:rsidRPr="00E57214">
        <w:rPr>
          <w:rFonts w:cs="Times New Roman"/>
          <w:sz w:val="28"/>
          <w:szCs w:val="28"/>
        </w:rPr>
        <w:t>‘Large Firms’.</w:t>
      </w:r>
      <w:r w:rsidR="00C0367F" w:rsidRPr="00E57214">
        <w:rPr>
          <w:rFonts w:cs="Times New Roman"/>
          <w:sz w:val="28"/>
          <w:szCs w:val="28"/>
        </w:rPr>
        <w:t xml:space="preserve"> Based on this the</w:t>
      </w:r>
      <w:r w:rsidR="00DC0ED2">
        <w:rPr>
          <w:rFonts w:cs="Times New Roman"/>
          <w:sz w:val="28"/>
          <w:szCs w:val="28"/>
        </w:rPr>
        <w:t xml:space="preserve">re </w:t>
      </w:r>
      <w:r w:rsidR="00C0367F" w:rsidRPr="00E57214">
        <w:rPr>
          <w:rFonts w:cs="Times New Roman"/>
          <w:sz w:val="28"/>
          <w:szCs w:val="28"/>
        </w:rPr>
        <w:t xml:space="preserve">were 312 </w:t>
      </w:r>
      <w:r w:rsidR="007A0284" w:rsidRPr="00E57214">
        <w:rPr>
          <w:rFonts w:cs="Times New Roman"/>
          <w:sz w:val="28"/>
          <w:szCs w:val="28"/>
        </w:rPr>
        <w:t>‘</w:t>
      </w:r>
      <w:r w:rsidR="00C0367F" w:rsidRPr="00E57214">
        <w:rPr>
          <w:rFonts w:cs="Times New Roman"/>
          <w:sz w:val="28"/>
          <w:szCs w:val="28"/>
        </w:rPr>
        <w:t>L</w:t>
      </w:r>
      <w:r w:rsidR="007A0284" w:rsidRPr="00E57214">
        <w:rPr>
          <w:rFonts w:cs="Times New Roman"/>
          <w:sz w:val="28"/>
          <w:szCs w:val="28"/>
        </w:rPr>
        <w:t>a</w:t>
      </w:r>
      <w:r w:rsidR="00C0367F" w:rsidRPr="00E57214">
        <w:rPr>
          <w:rFonts w:cs="Times New Roman"/>
          <w:sz w:val="28"/>
          <w:szCs w:val="28"/>
        </w:rPr>
        <w:t>rge firms</w:t>
      </w:r>
      <w:r w:rsidR="007A0284" w:rsidRPr="00E57214">
        <w:rPr>
          <w:rFonts w:cs="Times New Roman"/>
          <w:sz w:val="28"/>
          <w:szCs w:val="28"/>
        </w:rPr>
        <w:t>’</w:t>
      </w:r>
      <w:r w:rsidR="00C0367F" w:rsidRPr="00E57214">
        <w:rPr>
          <w:rFonts w:cs="Times New Roman"/>
          <w:sz w:val="28"/>
          <w:szCs w:val="28"/>
        </w:rPr>
        <w:t xml:space="preserve"> and </w:t>
      </w:r>
      <w:r w:rsidR="007A0284" w:rsidRPr="00E57214">
        <w:rPr>
          <w:rFonts w:cs="Times New Roman"/>
          <w:sz w:val="28"/>
          <w:szCs w:val="28"/>
        </w:rPr>
        <w:t xml:space="preserve">1097 ‘Small </w:t>
      </w:r>
      <w:proofErr w:type="gramStart"/>
      <w:r w:rsidR="00552E04" w:rsidRPr="00E57214">
        <w:rPr>
          <w:rFonts w:cs="Times New Roman"/>
          <w:sz w:val="28"/>
          <w:szCs w:val="28"/>
        </w:rPr>
        <w:t>firms</w:t>
      </w:r>
      <w:r w:rsidR="00552E04">
        <w:rPr>
          <w:rFonts w:cs="Times New Roman"/>
          <w:sz w:val="28"/>
          <w:szCs w:val="28"/>
        </w:rPr>
        <w:t>’</w:t>
      </w:r>
      <w:proofErr w:type="gramEnd"/>
      <w:r w:rsidR="007A0284" w:rsidRPr="00E57214">
        <w:rPr>
          <w:rFonts w:cs="Times New Roman"/>
          <w:sz w:val="28"/>
          <w:szCs w:val="28"/>
        </w:rPr>
        <w:t>.</w:t>
      </w:r>
    </w:p>
    <w:p w14:paraId="1A3C0942" w14:textId="32D07197" w:rsidR="007A0284" w:rsidRDefault="00B47D35" w:rsidP="00886734">
      <w:r w:rsidRPr="00E57214">
        <w:lastRenderedPageBreak/>
        <w:t xml:space="preserve">The classification has been done in order to evaluate the difference in the impact on the firms </w:t>
      </w:r>
      <w:r w:rsidR="00B47270" w:rsidRPr="00E57214">
        <w:t xml:space="preserve">in accordance with their size also to examine the pace of recovery. Since both the sections </w:t>
      </w:r>
      <w:r w:rsidR="00117668" w:rsidRPr="00E57214">
        <w:t>differ themselves in their number of employees, governmental benefits and restrictions,</w:t>
      </w:r>
      <w:r w:rsidR="006228AC" w:rsidRPr="00E57214">
        <w:t xml:space="preserve"> </w:t>
      </w:r>
      <w:r w:rsidR="00A442B2" w:rsidRPr="00E57214">
        <w:t>availability of credits,</w:t>
      </w:r>
      <w:r w:rsidR="000A20ED" w:rsidRPr="00E57214">
        <w:t xml:space="preserve"> </w:t>
      </w:r>
      <w:r w:rsidR="006228AC" w:rsidRPr="00E57214">
        <w:t>accessibility</w:t>
      </w:r>
      <w:r w:rsidR="000A20ED" w:rsidRPr="00E57214">
        <w:t xml:space="preserve"> to </w:t>
      </w:r>
      <w:r w:rsidR="006228AC" w:rsidRPr="00E57214">
        <w:t>distinct</w:t>
      </w:r>
      <w:r w:rsidR="000A20ED" w:rsidRPr="00E57214">
        <w:t xml:space="preserve"> opportunities</w:t>
      </w:r>
      <w:r w:rsidR="0089085E" w:rsidRPr="00E57214">
        <w:t xml:space="preserve"> it is expected to show the same in the search area as well</w:t>
      </w:r>
      <w:r w:rsidR="00D57DB2" w:rsidRPr="00E57214">
        <w:t xml:space="preserve">. Hence the study can be </w:t>
      </w:r>
      <w:r w:rsidR="006069D9" w:rsidRPr="00E57214">
        <w:t>effective in both Macro and Micro level policy formulation</w:t>
      </w:r>
      <w:r w:rsidR="0088492D" w:rsidRPr="00E57214">
        <w:t>s accordingly.</w:t>
      </w:r>
    </w:p>
    <w:p w14:paraId="73BDEF2F" w14:textId="77777777" w:rsidR="0088492D" w:rsidRPr="00255889" w:rsidRDefault="00920C97" w:rsidP="00886734">
      <w:pPr>
        <w:pStyle w:val="Heading1"/>
      </w:pPr>
      <w:r w:rsidRPr="00255889">
        <w:t>IMPACT OF PANDEMIC ON THE PROFIT LEVEL</w:t>
      </w:r>
    </w:p>
    <w:p w14:paraId="17AFCD66" w14:textId="54D8F10E" w:rsidR="00421E8B" w:rsidRDefault="00FC5A4C" w:rsidP="005942EC">
      <w:pPr>
        <w:rPr>
          <w:rFonts w:cs="Times New Roman"/>
          <w:sz w:val="28"/>
          <w:szCs w:val="28"/>
        </w:rPr>
      </w:pPr>
      <w:r w:rsidRPr="00FC5A4C">
        <w:rPr>
          <w:rFonts w:cs="Times New Roman"/>
          <w:sz w:val="28"/>
          <w:szCs w:val="28"/>
        </w:rPr>
        <w:t xml:space="preserve">In order to evaluate the impact over profit, Profit after tax has been considered. </w:t>
      </w:r>
    </w:p>
    <w:p w14:paraId="42AC2E46" w14:textId="77777777" w:rsidR="006A6C95" w:rsidRDefault="006A6C95" w:rsidP="006A6C95">
      <w:pPr>
        <w:keepNext/>
      </w:pPr>
      <w:r>
        <w:rPr>
          <w:noProof/>
        </w:rPr>
        <w:drawing>
          <wp:inline distT="0" distB="0" distL="0" distR="0" wp14:anchorId="1C950EC0" wp14:editId="09D375B2">
            <wp:extent cx="5585460" cy="2887980"/>
            <wp:effectExtent l="0" t="0" r="15240" b="7620"/>
            <wp:docPr id="1917068615" name="Chart 1">
              <a:extLst xmlns:a="http://schemas.openxmlformats.org/drawingml/2006/main">
                <a:ext uri="{FF2B5EF4-FFF2-40B4-BE49-F238E27FC236}">
                  <a16:creationId xmlns:a16="http://schemas.microsoft.com/office/drawing/2014/main" id="{8A846EC1-91D9-FE9A-C754-28D5CF994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4D8238" w14:textId="519E6343" w:rsidR="00421E8B" w:rsidRDefault="006A6C95" w:rsidP="006A6C95">
      <w:pPr>
        <w:pStyle w:val="Caption"/>
        <w:spacing w:after="0"/>
      </w:pPr>
      <w:r w:rsidRPr="006A6C95">
        <w:t xml:space="preserve">Figure </w:t>
      </w:r>
      <w:fldSimple w:instr=" SEQ Figure \* ARABIC ">
        <w:r w:rsidR="006D44A3">
          <w:rPr>
            <w:noProof/>
          </w:rPr>
          <w:t>2</w:t>
        </w:r>
      </w:fldSimple>
      <w:r w:rsidRPr="006A6C95">
        <w:t>: Profits of Firms over the years</w:t>
      </w:r>
    </w:p>
    <w:p w14:paraId="51F6B481" w14:textId="0E575B86" w:rsidR="006A6C95" w:rsidRDefault="006A6C95" w:rsidP="00906803">
      <w:pPr>
        <w:spacing w:line="240" w:lineRule="auto"/>
      </w:pPr>
      <w:r>
        <w:t xml:space="preserve">(Note: Profit of small firms are measured on right axis) </w:t>
      </w:r>
    </w:p>
    <w:p w14:paraId="588DCED7" w14:textId="52756511" w:rsidR="00920C97" w:rsidRDefault="00FC5A4C" w:rsidP="005942EC">
      <w:pPr>
        <w:rPr>
          <w:rFonts w:cs="Times New Roman"/>
          <w:sz w:val="28"/>
          <w:szCs w:val="28"/>
        </w:rPr>
      </w:pPr>
      <w:r w:rsidRPr="00FC5A4C">
        <w:rPr>
          <w:rFonts w:cs="Times New Roman"/>
          <w:sz w:val="28"/>
          <w:szCs w:val="28"/>
        </w:rPr>
        <w:t xml:space="preserve">This is because it shows the actual amount the company is making in that operating year. Hence it also shows the efficiency in meeting a healthy growth margin. Also Profit after tax do not consider the debt obligations of a company. For the sake of analysis average Profit after tax of each </w:t>
      </w:r>
      <w:r w:rsidR="00DC0ED2" w:rsidRPr="00FC5A4C">
        <w:rPr>
          <w:rFonts w:cs="Times New Roman"/>
          <w:sz w:val="28"/>
          <w:szCs w:val="28"/>
        </w:rPr>
        <w:t>company</w:t>
      </w:r>
      <w:r w:rsidRPr="00FC5A4C">
        <w:rPr>
          <w:rFonts w:cs="Times New Roman"/>
          <w:sz w:val="28"/>
          <w:szCs w:val="28"/>
        </w:rPr>
        <w:t xml:space="preserve"> in a year-on-year basis is taken. After analysing the </w:t>
      </w:r>
      <w:r w:rsidR="00DC0ED2" w:rsidRPr="00FC5A4C">
        <w:rPr>
          <w:rFonts w:cs="Times New Roman"/>
          <w:sz w:val="28"/>
          <w:szCs w:val="28"/>
        </w:rPr>
        <w:t>data,</w:t>
      </w:r>
      <w:r w:rsidRPr="00FC5A4C">
        <w:rPr>
          <w:rFonts w:cs="Times New Roman"/>
          <w:sz w:val="28"/>
          <w:szCs w:val="28"/>
        </w:rPr>
        <w:t xml:space="preserve"> it can easily be noted a huge difference on the impact on profit between the two set of firms. Data shows that though there is no negative fall of profit during the period 2020, (which shows the effect of pandemic just after its emergence in the year 2019), there is a fall in the relative profit level compared to previous years.</w:t>
      </w:r>
    </w:p>
    <w:p w14:paraId="5344F62E" w14:textId="6FEF01B1" w:rsidR="00FC5A4C" w:rsidRDefault="00FC5A4C" w:rsidP="00FC5A4C">
      <w:pPr>
        <w:rPr>
          <w:rFonts w:cs="Times New Roman"/>
          <w:sz w:val="28"/>
          <w:szCs w:val="28"/>
        </w:rPr>
      </w:pPr>
      <w:r w:rsidRPr="00FC5A4C">
        <w:rPr>
          <w:rFonts w:cs="Times New Roman"/>
          <w:sz w:val="28"/>
          <w:szCs w:val="28"/>
        </w:rPr>
        <w:lastRenderedPageBreak/>
        <w:t>It is clear from the graphs that the average profit didn’t go negative during the pandemic phase. This is during a time when almost all the industries across different sectors were facing negative growth.</w:t>
      </w:r>
      <w:r w:rsidR="00FB5CCD">
        <w:rPr>
          <w:rFonts w:cs="Times New Roman"/>
          <w:sz w:val="28"/>
          <w:szCs w:val="28"/>
        </w:rPr>
        <w:t xml:space="preserve"> </w:t>
      </w:r>
      <w:r w:rsidR="00F354A4">
        <w:rPr>
          <w:rFonts w:cs="Times New Roman"/>
          <w:sz w:val="28"/>
          <w:szCs w:val="28"/>
        </w:rPr>
        <w:t xml:space="preserve">There are many reasons for this to happen. </w:t>
      </w:r>
      <w:r w:rsidR="00BE651E">
        <w:rPr>
          <w:rFonts w:cs="Times New Roman"/>
          <w:sz w:val="28"/>
          <w:szCs w:val="28"/>
        </w:rPr>
        <w:t xml:space="preserve">Since profit is a function of several variables, the </w:t>
      </w:r>
      <w:r w:rsidR="00F4104B">
        <w:rPr>
          <w:rFonts w:cs="Times New Roman"/>
          <w:sz w:val="28"/>
          <w:szCs w:val="28"/>
        </w:rPr>
        <w:t>factors causing this trend can easily be identified.</w:t>
      </w:r>
      <w:r w:rsidR="00977D44">
        <w:rPr>
          <w:rFonts w:cs="Times New Roman"/>
          <w:sz w:val="28"/>
          <w:szCs w:val="28"/>
        </w:rPr>
        <w:t xml:space="preserve"> These variable</w:t>
      </w:r>
      <w:r w:rsidR="00140AE6">
        <w:rPr>
          <w:rFonts w:cs="Times New Roman"/>
          <w:sz w:val="28"/>
          <w:szCs w:val="28"/>
        </w:rPr>
        <w:t>s</w:t>
      </w:r>
      <w:r w:rsidR="00977D44">
        <w:rPr>
          <w:rFonts w:cs="Times New Roman"/>
          <w:sz w:val="28"/>
          <w:szCs w:val="28"/>
        </w:rPr>
        <w:t xml:space="preserve"> include</w:t>
      </w:r>
      <w:r w:rsidR="00140AE6">
        <w:rPr>
          <w:rFonts w:cs="Times New Roman"/>
          <w:sz w:val="28"/>
          <w:szCs w:val="28"/>
        </w:rPr>
        <w:t xml:space="preserve"> management of effective resources</w:t>
      </w:r>
      <w:r w:rsidR="00971D47">
        <w:rPr>
          <w:rFonts w:cs="Times New Roman"/>
          <w:sz w:val="28"/>
          <w:szCs w:val="28"/>
        </w:rPr>
        <w:t xml:space="preserve"> </w:t>
      </w:r>
      <w:r w:rsidR="00C00ACC">
        <w:rPr>
          <w:rFonts w:cs="Times New Roman"/>
          <w:sz w:val="28"/>
          <w:szCs w:val="28"/>
        </w:rPr>
        <w:t>(</w:t>
      </w:r>
      <w:r w:rsidR="00552E04" w:rsidRPr="00552E04">
        <w:rPr>
          <w:sz w:val="28"/>
          <w:szCs w:val="28"/>
        </w:rPr>
        <w:t>Camelia</w:t>
      </w:r>
      <w:r w:rsidR="00906803">
        <w:rPr>
          <w:rFonts w:cs="Times New Roman"/>
          <w:sz w:val="28"/>
          <w:szCs w:val="28"/>
        </w:rPr>
        <w:t>, 2011</w:t>
      </w:r>
      <w:r w:rsidR="000A5445">
        <w:rPr>
          <w:rFonts w:cs="Times New Roman"/>
          <w:sz w:val="28"/>
          <w:szCs w:val="28"/>
        </w:rPr>
        <w:t>),</w:t>
      </w:r>
      <w:r w:rsidR="00EA70F0">
        <w:rPr>
          <w:rFonts w:cs="Times New Roman"/>
          <w:sz w:val="28"/>
          <w:szCs w:val="28"/>
        </w:rPr>
        <w:t xml:space="preserve"> </w:t>
      </w:r>
      <w:r w:rsidR="001D02FD">
        <w:rPr>
          <w:rFonts w:cs="Times New Roman"/>
          <w:sz w:val="28"/>
          <w:szCs w:val="28"/>
        </w:rPr>
        <w:t>G</w:t>
      </w:r>
      <w:r w:rsidR="00432E1E">
        <w:rPr>
          <w:rFonts w:cs="Times New Roman"/>
          <w:sz w:val="28"/>
          <w:szCs w:val="28"/>
        </w:rPr>
        <w:t>lobal and local demand,</w:t>
      </w:r>
      <w:r w:rsidR="00D237DB">
        <w:rPr>
          <w:rFonts w:cs="Times New Roman"/>
          <w:sz w:val="28"/>
          <w:szCs w:val="28"/>
        </w:rPr>
        <w:t xml:space="preserve"> National Vision and Strategy, </w:t>
      </w:r>
      <w:r w:rsidR="00DB5260">
        <w:rPr>
          <w:rFonts w:cs="Times New Roman"/>
          <w:sz w:val="28"/>
          <w:szCs w:val="28"/>
        </w:rPr>
        <w:t>competitio</w:t>
      </w:r>
      <w:r w:rsidR="00EA70F0">
        <w:rPr>
          <w:rFonts w:cs="Times New Roman"/>
          <w:sz w:val="28"/>
          <w:szCs w:val="28"/>
        </w:rPr>
        <w:t>n</w:t>
      </w:r>
      <w:r w:rsidR="00DB5260">
        <w:rPr>
          <w:rFonts w:cs="Times New Roman"/>
          <w:sz w:val="28"/>
          <w:szCs w:val="28"/>
        </w:rPr>
        <w:t>,</w:t>
      </w:r>
      <w:r w:rsidR="00EA70F0">
        <w:rPr>
          <w:rFonts w:cs="Times New Roman"/>
          <w:sz w:val="28"/>
          <w:szCs w:val="28"/>
        </w:rPr>
        <w:t xml:space="preserve"> </w:t>
      </w:r>
      <w:r w:rsidR="00DB5260">
        <w:rPr>
          <w:rFonts w:cs="Times New Roman"/>
          <w:sz w:val="28"/>
          <w:szCs w:val="28"/>
        </w:rPr>
        <w:t>clustering &amp; collaboration</w:t>
      </w:r>
      <w:r w:rsidR="009A2844">
        <w:rPr>
          <w:rFonts w:cs="Times New Roman"/>
          <w:sz w:val="28"/>
          <w:szCs w:val="28"/>
        </w:rPr>
        <w:t>, human capital, t</w:t>
      </w:r>
      <w:r w:rsidR="001D02FD">
        <w:rPr>
          <w:rFonts w:cs="Times New Roman"/>
          <w:sz w:val="28"/>
          <w:szCs w:val="28"/>
        </w:rPr>
        <w:t>e</w:t>
      </w:r>
      <w:r w:rsidR="009A2844">
        <w:rPr>
          <w:rFonts w:cs="Times New Roman"/>
          <w:sz w:val="28"/>
          <w:szCs w:val="28"/>
        </w:rPr>
        <w:t>chnological upgradation and</w:t>
      </w:r>
      <w:r w:rsidR="001D02FD">
        <w:rPr>
          <w:rFonts w:cs="Times New Roman"/>
          <w:sz w:val="28"/>
          <w:szCs w:val="28"/>
        </w:rPr>
        <w:t xml:space="preserve"> finance</w:t>
      </w:r>
      <w:r w:rsidR="003D39E0">
        <w:rPr>
          <w:rFonts w:cs="Times New Roman"/>
          <w:sz w:val="28"/>
          <w:szCs w:val="28"/>
        </w:rPr>
        <w:t xml:space="preserve"> etc. </w:t>
      </w:r>
      <w:r w:rsidR="001D02FD">
        <w:rPr>
          <w:rFonts w:cs="Times New Roman"/>
          <w:sz w:val="28"/>
          <w:szCs w:val="28"/>
        </w:rPr>
        <w:t xml:space="preserve"> </w:t>
      </w:r>
      <w:r w:rsidR="00F354A4">
        <w:rPr>
          <w:rFonts w:cs="Times New Roman"/>
          <w:sz w:val="28"/>
          <w:szCs w:val="28"/>
        </w:rPr>
        <w:t xml:space="preserve">During the pandemic, overall consumption </w:t>
      </w:r>
      <w:r w:rsidR="000A1BA1">
        <w:rPr>
          <w:rFonts w:cs="Times New Roman"/>
          <w:sz w:val="28"/>
          <w:szCs w:val="28"/>
        </w:rPr>
        <w:t>of electronic media has increased resulting to the increased exposure to intern</w:t>
      </w:r>
      <w:r w:rsidR="00462F3D">
        <w:rPr>
          <w:rFonts w:cs="Times New Roman"/>
          <w:sz w:val="28"/>
          <w:szCs w:val="28"/>
        </w:rPr>
        <w:t>et and Information Technology Enabled Services. Be it in the academia, governme</w:t>
      </w:r>
      <w:r w:rsidR="00136084">
        <w:rPr>
          <w:rFonts w:cs="Times New Roman"/>
          <w:sz w:val="28"/>
          <w:szCs w:val="28"/>
        </w:rPr>
        <w:t>n</w:t>
      </w:r>
      <w:r w:rsidR="00462F3D">
        <w:rPr>
          <w:rFonts w:cs="Times New Roman"/>
          <w:sz w:val="28"/>
          <w:szCs w:val="28"/>
        </w:rPr>
        <w:t xml:space="preserve">t services, </w:t>
      </w:r>
      <w:r w:rsidR="00136084">
        <w:rPr>
          <w:rFonts w:cs="Times New Roman"/>
          <w:sz w:val="28"/>
          <w:szCs w:val="28"/>
        </w:rPr>
        <w:t xml:space="preserve">purchasing pattern, getting insights on the pandemic and regular </w:t>
      </w:r>
      <w:r w:rsidR="00DC0ED2">
        <w:rPr>
          <w:rFonts w:cs="Times New Roman"/>
          <w:sz w:val="28"/>
          <w:szCs w:val="28"/>
        </w:rPr>
        <w:t>updates</w:t>
      </w:r>
      <w:r w:rsidR="00136084">
        <w:rPr>
          <w:rFonts w:cs="Times New Roman"/>
          <w:sz w:val="28"/>
          <w:szCs w:val="28"/>
        </w:rPr>
        <w:t xml:space="preserve"> from the authorities,</w:t>
      </w:r>
      <w:r w:rsidR="008779F2">
        <w:rPr>
          <w:rFonts w:cs="Times New Roman"/>
          <w:sz w:val="28"/>
          <w:szCs w:val="28"/>
        </w:rPr>
        <w:t xml:space="preserve"> monetary transactions,</w:t>
      </w:r>
      <w:r w:rsidR="00C944BD">
        <w:rPr>
          <w:rFonts w:cs="Times New Roman"/>
          <w:sz w:val="28"/>
          <w:szCs w:val="28"/>
        </w:rPr>
        <w:t xml:space="preserve"> video conferencing</w:t>
      </w:r>
      <w:r w:rsidR="00DC4C83">
        <w:rPr>
          <w:rFonts w:cs="Times New Roman"/>
          <w:sz w:val="28"/>
          <w:szCs w:val="28"/>
        </w:rPr>
        <w:t xml:space="preserve"> and other modes of communications and in all other fields this increment in the consumption pattern can be </w:t>
      </w:r>
      <w:r w:rsidR="00734CBF">
        <w:rPr>
          <w:rFonts w:cs="Times New Roman"/>
          <w:sz w:val="28"/>
          <w:szCs w:val="28"/>
        </w:rPr>
        <w:t xml:space="preserve">figured out. </w:t>
      </w:r>
      <w:r w:rsidR="00DC0ED2">
        <w:rPr>
          <w:rFonts w:cs="Times New Roman"/>
          <w:sz w:val="28"/>
          <w:szCs w:val="28"/>
        </w:rPr>
        <w:t>Also,</w:t>
      </w:r>
      <w:r w:rsidR="00B43718">
        <w:rPr>
          <w:rFonts w:cs="Times New Roman"/>
          <w:sz w:val="28"/>
          <w:szCs w:val="28"/>
        </w:rPr>
        <w:t xml:space="preserve"> the </w:t>
      </w:r>
      <w:r w:rsidR="00077919">
        <w:rPr>
          <w:rFonts w:cs="Times New Roman"/>
          <w:sz w:val="28"/>
          <w:szCs w:val="28"/>
        </w:rPr>
        <w:t xml:space="preserve">policies such as </w:t>
      </w:r>
      <w:r w:rsidR="00964BB2">
        <w:rPr>
          <w:rFonts w:cs="Times New Roman"/>
          <w:sz w:val="28"/>
          <w:szCs w:val="28"/>
        </w:rPr>
        <w:t>National Policy on Software Products</w:t>
      </w:r>
      <w:r w:rsidR="00670628">
        <w:rPr>
          <w:rFonts w:cs="Times New Roman"/>
          <w:sz w:val="28"/>
          <w:szCs w:val="28"/>
        </w:rPr>
        <w:t xml:space="preserve"> also ace this. </w:t>
      </w:r>
      <w:r w:rsidR="002F2F57">
        <w:rPr>
          <w:rFonts w:cs="Times New Roman"/>
          <w:sz w:val="28"/>
          <w:szCs w:val="28"/>
        </w:rPr>
        <w:t>To reduce the costs of the firms many firms also followed layoffs</w:t>
      </w:r>
      <w:r w:rsidR="00FA73C9">
        <w:rPr>
          <w:rFonts w:cs="Times New Roman"/>
          <w:sz w:val="28"/>
          <w:szCs w:val="28"/>
        </w:rPr>
        <w:t xml:space="preserve"> and other measures. The transition to Work from Home </w:t>
      </w:r>
      <w:r w:rsidR="00911E3D">
        <w:rPr>
          <w:rFonts w:cs="Times New Roman"/>
          <w:sz w:val="28"/>
          <w:szCs w:val="28"/>
        </w:rPr>
        <w:t>also paved the way to the decrement in costs of the firms.</w:t>
      </w:r>
      <w:r w:rsidR="00E94EFA">
        <w:rPr>
          <w:rFonts w:cs="Times New Roman"/>
          <w:sz w:val="28"/>
          <w:szCs w:val="28"/>
        </w:rPr>
        <w:t xml:space="preserve"> </w:t>
      </w:r>
      <w:r w:rsidR="00125127">
        <w:rPr>
          <w:rFonts w:cs="Times New Roman"/>
          <w:sz w:val="28"/>
          <w:szCs w:val="28"/>
        </w:rPr>
        <w:t>There has been considerable drop in both the placement rates and the packages during the period hence it was available for the forms to get access to wage-less technical labourers</w:t>
      </w:r>
      <w:r w:rsidR="005A5F53">
        <w:rPr>
          <w:rFonts w:cs="Times New Roman"/>
          <w:sz w:val="28"/>
          <w:szCs w:val="28"/>
        </w:rPr>
        <w:t>.</w:t>
      </w:r>
      <w:r w:rsidR="007065AC">
        <w:rPr>
          <w:rFonts w:cs="Times New Roman"/>
          <w:sz w:val="28"/>
          <w:szCs w:val="28"/>
        </w:rPr>
        <w:t xml:space="preserve"> </w:t>
      </w:r>
      <w:r w:rsidR="002C23F9">
        <w:rPr>
          <w:rFonts w:cs="Times New Roman"/>
          <w:sz w:val="28"/>
          <w:szCs w:val="28"/>
        </w:rPr>
        <w:t xml:space="preserve">Spur in global demand for India IT services during his period (as the firms abroad may not have </w:t>
      </w:r>
      <w:r w:rsidR="002C23F9">
        <w:rPr>
          <w:rFonts w:cs="Times New Roman"/>
          <w:sz w:val="28"/>
          <w:szCs w:val="28"/>
        </w:rPr>
        <w:lastRenderedPageBreak/>
        <w:t xml:space="preserve">to incur </w:t>
      </w:r>
      <w:r w:rsidR="00DC72FC">
        <w:rPr>
          <w:rFonts w:cs="Times New Roman"/>
          <w:sz w:val="28"/>
          <w:szCs w:val="28"/>
        </w:rPr>
        <w:t xml:space="preserve">expenses that it </w:t>
      </w:r>
      <w:r w:rsidR="00360FD2">
        <w:rPr>
          <w:rFonts w:cs="Times New Roman"/>
          <w:sz w:val="28"/>
          <w:szCs w:val="28"/>
        </w:rPr>
        <w:t>would have</w:t>
      </w:r>
      <w:r w:rsidR="00DC72FC">
        <w:rPr>
          <w:rFonts w:cs="Times New Roman"/>
          <w:sz w:val="28"/>
          <w:szCs w:val="28"/>
        </w:rPr>
        <w:t xml:space="preserve"> </w:t>
      </w:r>
      <w:r w:rsidR="00360FD2">
        <w:rPr>
          <w:rFonts w:cs="Times New Roman"/>
          <w:sz w:val="28"/>
          <w:szCs w:val="28"/>
        </w:rPr>
        <w:t>incurred</w:t>
      </w:r>
      <w:r w:rsidR="00DC72FC">
        <w:rPr>
          <w:rFonts w:cs="Times New Roman"/>
          <w:sz w:val="28"/>
          <w:szCs w:val="28"/>
        </w:rPr>
        <w:t xml:space="preserve"> </w:t>
      </w:r>
      <w:r w:rsidR="00360FD2">
        <w:rPr>
          <w:rFonts w:cs="Times New Roman"/>
          <w:sz w:val="28"/>
          <w:szCs w:val="28"/>
        </w:rPr>
        <w:t xml:space="preserve">if </w:t>
      </w:r>
      <w:r w:rsidR="00DC72FC">
        <w:rPr>
          <w:rFonts w:cs="Times New Roman"/>
          <w:sz w:val="28"/>
          <w:szCs w:val="28"/>
        </w:rPr>
        <w:t>offline)</w:t>
      </w:r>
      <w:r w:rsidR="00360FD2">
        <w:rPr>
          <w:rFonts w:cs="Times New Roman"/>
          <w:sz w:val="28"/>
          <w:szCs w:val="28"/>
        </w:rPr>
        <w:t xml:space="preserve"> also results in the increase </w:t>
      </w:r>
      <w:r w:rsidR="00EA70F0">
        <w:rPr>
          <w:noProof/>
        </w:rPr>
        <w:drawing>
          <wp:anchor distT="0" distB="0" distL="114300" distR="114300" simplePos="0" relativeHeight="251664384" behindDoc="0" locked="0" layoutInCell="1" allowOverlap="1" wp14:anchorId="3E913F0F" wp14:editId="06ABF35D">
            <wp:simplePos x="0" y="0"/>
            <wp:positionH relativeFrom="column">
              <wp:posOffset>175260</wp:posOffset>
            </wp:positionH>
            <wp:positionV relativeFrom="paragraph">
              <wp:posOffset>5274945</wp:posOffset>
            </wp:positionV>
            <wp:extent cx="5379720" cy="3332480"/>
            <wp:effectExtent l="0" t="0" r="11430" b="1270"/>
            <wp:wrapTopAndBottom/>
            <wp:docPr id="2068628430" name="Chart 1">
              <a:extLst xmlns:a="http://schemas.openxmlformats.org/drawingml/2006/main">
                <a:ext uri="{FF2B5EF4-FFF2-40B4-BE49-F238E27FC236}">
                  <a16:creationId xmlns:a16="http://schemas.microsoft.com/office/drawing/2014/main" id="{CA2A2F89-93C0-9F5F-6E6C-3586C14D1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A70F0">
        <w:rPr>
          <w:noProof/>
        </w:rPr>
        <mc:AlternateContent>
          <mc:Choice Requires="wps">
            <w:drawing>
              <wp:anchor distT="0" distB="0" distL="114300" distR="114300" simplePos="0" relativeHeight="251675648" behindDoc="0" locked="0" layoutInCell="1" allowOverlap="1" wp14:anchorId="49660217" wp14:editId="59AC9AE6">
                <wp:simplePos x="0" y="0"/>
                <wp:positionH relativeFrom="column">
                  <wp:posOffset>411480</wp:posOffset>
                </wp:positionH>
                <wp:positionV relativeFrom="paragraph">
                  <wp:posOffset>8587105</wp:posOffset>
                </wp:positionV>
                <wp:extent cx="5379720" cy="635"/>
                <wp:effectExtent l="0" t="0" r="0" b="0"/>
                <wp:wrapTopAndBottom/>
                <wp:docPr id="1484506499" name="Text Box 1"/>
                <wp:cNvGraphicFramePr/>
                <a:graphic xmlns:a="http://schemas.openxmlformats.org/drawingml/2006/main">
                  <a:graphicData uri="http://schemas.microsoft.com/office/word/2010/wordprocessingShape">
                    <wps:wsp>
                      <wps:cNvSpPr txBox="1"/>
                      <wps:spPr>
                        <a:xfrm>
                          <a:off x="0" y="0"/>
                          <a:ext cx="5379720" cy="635"/>
                        </a:xfrm>
                        <a:prstGeom prst="rect">
                          <a:avLst/>
                        </a:prstGeom>
                        <a:solidFill>
                          <a:prstClr val="white"/>
                        </a:solidFill>
                        <a:ln>
                          <a:noFill/>
                        </a:ln>
                      </wps:spPr>
                      <wps:txbx>
                        <w:txbxContent>
                          <w:p w14:paraId="3D384786" w14:textId="1001342F" w:rsidR="00DC0ED2" w:rsidRPr="00906803" w:rsidRDefault="00DC0ED2" w:rsidP="00DC0ED2">
                            <w:pPr>
                              <w:pStyle w:val="Caption"/>
                              <w:rPr>
                                <w:rFonts w:cs="Times New Roman"/>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3</w:t>
                            </w:r>
                            <w:r w:rsidRPr="00906803">
                              <w:rPr>
                                <w:sz w:val="24"/>
                                <w:szCs w:val="24"/>
                              </w:rPr>
                              <w:fldChar w:fldCharType="end"/>
                            </w:r>
                            <w:r w:rsidRPr="00906803">
                              <w:rPr>
                                <w:sz w:val="24"/>
                                <w:szCs w:val="24"/>
                              </w:rPr>
                              <w:t>: percentage change of profit over the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660217" id="_x0000_s1027" type="#_x0000_t202" style="position:absolute;left:0;text-align:left;margin-left:32.4pt;margin-top:676.15pt;width:423.6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" stroked="f">
                <v:textbox style="mso-fit-shape-to-text:t" inset="0,0,0,0">
                  <w:txbxContent>
                    <w:p w14:paraId="3D384786" w14:textId="1001342F" w:rsidR="00DC0ED2" w:rsidRPr="00906803" w:rsidRDefault="00DC0ED2" w:rsidP="00DC0ED2">
                      <w:pPr>
                        <w:pStyle w:val="Caption"/>
                        <w:rPr>
                          <w:rFonts w:cs="Times New Roman"/>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3</w:t>
                      </w:r>
                      <w:r w:rsidRPr="00906803">
                        <w:rPr>
                          <w:sz w:val="24"/>
                          <w:szCs w:val="24"/>
                        </w:rPr>
                        <w:fldChar w:fldCharType="end"/>
                      </w:r>
                      <w:r w:rsidRPr="00906803">
                        <w:rPr>
                          <w:sz w:val="24"/>
                          <w:szCs w:val="24"/>
                        </w:rPr>
                        <w:t>: percentage change of profit over the years</w:t>
                      </w:r>
                    </w:p>
                  </w:txbxContent>
                </v:textbox>
                <w10:wrap type="topAndBottom"/>
              </v:shape>
            </w:pict>
          </mc:Fallback>
        </mc:AlternateContent>
      </w:r>
      <w:r w:rsidR="00360FD2">
        <w:rPr>
          <w:rFonts w:cs="Times New Roman"/>
          <w:sz w:val="28"/>
          <w:szCs w:val="28"/>
        </w:rPr>
        <w:t>in</w:t>
      </w:r>
      <w:r w:rsidR="00F30188">
        <w:rPr>
          <w:rFonts w:cs="Times New Roman"/>
          <w:sz w:val="28"/>
          <w:szCs w:val="28"/>
        </w:rPr>
        <w:t xml:space="preserve"> the profit after tax. This is clearly reflected in the graph.</w:t>
      </w:r>
      <w:r w:rsidR="00360FD2">
        <w:rPr>
          <w:rFonts w:cs="Times New Roman"/>
          <w:sz w:val="28"/>
          <w:szCs w:val="28"/>
        </w:rPr>
        <w:t xml:space="preserve"> </w:t>
      </w:r>
    </w:p>
    <w:p w14:paraId="17A52804" w14:textId="6FB1CCBE" w:rsidR="009D6AE2" w:rsidRDefault="00FB6A86" w:rsidP="00FC5A4C">
      <w:pPr>
        <w:rPr>
          <w:rFonts w:cs="Times New Roman"/>
          <w:sz w:val="28"/>
          <w:szCs w:val="28"/>
        </w:rPr>
      </w:pPr>
      <w:r>
        <w:rPr>
          <w:rFonts w:cs="Times New Roman"/>
          <w:sz w:val="28"/>
          <w:szCs w:val="28"/>
        </w:rPr>
        <w:t>But, in order to clearly differentiate the impact on these two sets of companies</w:t>
      </w:r>
      <w:r w:rsidR="008C4ACA">
        <w:rPr>
          <w:rFonts w:cs="Times New Roman"/>
          <w:sz w:val="28"/>
          <w:szCs w:val="28"/>
        </w:rPr>
        <w:t xml:space="preserve">, I have used Year-on-year </w:t>
      </w:r>
      <w:r w:rsidR="00A238E0">
        <w:rPr>
          <w:rFonts w:cs="Times New Roman"/>
          <w:sz w:val="28"/>
          <w:szCs w:val="28"/>
        </w:rPr>
        <w:t xml:space="preserve">Marginal </w:t>
      </w:r>
      <w:r w:rsidR="00D326B2">
        <w:rPr>
          <w:rFonts w:cs="Times New Roman"/>
          <w:sz w:val="28"/>
          <w:szCs w:val="28"/>
        </w:rPr>
        <w:t xml:space="preserve">Average </w:t>
      </w:r>
      <w:r w:rsidR="008C4ACA">
        <w:rPr>
          <w:rFonts w:cs="Times New Roman"/>
          <w:sz w:val="28"/>
          <w:szCs w:val="28"/>
        </w:rPr>
        <w:t>Growth rate</w:t>
      </w:r>
      <w:r w:rsidR="00A238E0">
        <w:rPr>
          <w:rFonts w:cs="Times New Roman"/>
          <w:sz w:val="28"/>
          <w:szCs w:val="28"/>
        </w:rPr>
        <w:t xml:space="preserve"> as the tool</w:t>
      </w:r>
      <w:r w:rsidR="008D368F">
        <w:rPr>
          <w:rFonts w:cs="Times New Roman"/>
          <w:sz w:val="28"/>
          <w:szCs w:val="28"/>
        </w:rPr>
        <w:t xml:space="preserve">. The change in the profit level in each year </w:t>
      </w:r>
      <w:r w:rsidR="00B145FD">
        <w:rPr>
          <w:rFonts w:cs="Times New Roman"/>
          <w:sz w:val="28"/>
          <w:szCs w:val="28"/>
        </w:rPr>
        <w:t xml:space="preserve">has been noted and expressed as percentage. This </w:t>
      </w:r>
      <w:r w:rsidR="00FB0514">
        <w:rPr>
          <w:rFonts w:cs="Times New Roman"/>
          <w:sz w:val="28"/>
          <w:szCs w:val="28"/>
        </w:rPr>
        <w:t>makes convenient to analyse</w:t>
      </w:r>
      <w:r w:rsidR="003404CC">
        <w:rPr>
          <w:rFonts w:cs="Times New Roman"/>
          <w:sz w:val="28"/>
          <w:szCs w:val="28"/>
        </w:rPr>
        <w:t xml:space="preserve"> the impact and differentiate</w:t>
      </w:r>
      <w:r w:rsidR="00A00C76">
        <w:rPr>
          <w:rFonts w:cs="Times New Roman"/>
          <w:sz w:val="28"/>
          <w:szCs w:val="28"/>
        </w:rPr>
        <w:t>. It can be noted that after considerable fluctuations in the marginal average growth rate</w:t>
      </w:r>
      <w:r w:rsidR="00A540D8">
        <w:rPr>
          <w:rFonts w:cs="Times New Roman"/>
          <w:sz w:val="28"/>
          <w:szCs w:val="28"/>
        </w:rPr>
        <w:t xml:space="preserve">, </w:t>
      </w:r>
      <w:r w:rsidR="00654F68">
        <w:rPr>
          <w:rFonts w:cs="Times New Roman"/>
          <w:sz w:val="28"/>
          <w:szCs w:val="28"/>
        </w:rPr>
        <w:t>it shows an upward moving trend during the pandemic. For the large firms,</w:t>
      </w:r>
      <w:r w:rsidR="00A26C3D">
        <w:rPr>
          <w:rFonts w:cs="Times New Roman"/>
          <w:sz w:val="28"/>
          <w:szCs w:val="28"/>
        </w:rPr>
        <w:t xml:space="preserve"> it has increased from </w:t>
      </w:r>
      <w:r w:rsidR="009D0AE8">
        <w:rPr>
          <w:rFonts w:cs="Times New Roman"/>
          <w:sz w:val="28"/>
          <w:szCs w:val="28"/>
        </w:rPr>
        <w:t xml:space="preserve">5.734% to 7.845% during the period and for </w:t>
      </w:r>
      <w:r w:rsidR="00DC0ED2">
        <w:rPr>
          <w:rFonts w:cs="Times New Roman"/>
          <w:sz w:val="28"/>
          <w:szCs w:val="28"/>
        </w:rPr>
        <w:t>small</w:t>
      </w:r>
      <w:r w:rsidR="00A17A2B">
        <w:rPr>
          <w:rFonts w:cs="Times New Roman"/>
          <w:sz w:val="28"/>
          <w:szCs w:val="28"/>
        </w:rPr>
        <w:t xml:space="preserve"> firms,</w:t>
      </w:r>
      <w:r w:rsidR="003B1AFE">
        <w:rPr>
          <w:rFonts w:cs="Times New Roman"/>
          <w:sz w:val="28"/>
          <w:szCs w:val="28"/>
        </w:rPr>
        <w:t xml:space="preserve"> the Marginal Average G</w:t>
      </w:r>
      <w:r w:rsidR="00A95F39">
        <w:rPr>
          <w:rFonts w:cs="Times New Roman"/>
          <w:sz w:val="28"/>
          <w:szCs w:val="28"/>
        </w:rPr>
        <w:t>rowth of Profit increased from</w:t>
      </w:r>
      <w:r w:rsidR="00741413">
        <w:rPr>
          <w:rFonts w:cs="Times New Roman"/>
          <w:sz w:val="28"/>
          <w:szCs w:val="28"/>
        </w:rPr>
        <w:t xml:space="preserve"> </w:t>
      </w:r>
      <w:r w:rsidR="00A95F39">
        <w:rPr>
          <w:rFonts w:cs="Times New Roman"/>
          <w:sz w:val="28"/>
          <w:szCs w:val="28"/>
        </w:rPr>
        <w:t xml:space="preserve">7.844% to </w:t>
      </w:r>
      <w:r w:rsidR="00741413">
        <w:rPr>
          <w:rFonts w:cs="Times New Roman"/>
          <w:sz w:val="28"/>
          <w:szCs w:val="28"/>
        </w:rPr>
        <w:t>41.49%.</w:t>
      </w:r>
      <w:r w:rsidR="00925DFE">
        <w:rPr>
          <w:rFonts w:cs="Times New Roman"/>
          <w:sz w:val="28"/>
          <w:szCs w:val="28"/>
        </w:rPr>
        <w:t xml:space="preserve"> one of the </w:t>
      </w:r>
      <w:r w:rsidR="00DC0ED2">
        <w:rPr>
          <w:rFonts w:cs="Times New Roman"/>
          <w:sz w:val="28"/>
          <w:szCs w:val="28"/>
        </w:rPr>
        <w:t>reasons</w:t>
      </w:r>
      <w:r w:rsidR="00925DFE">
        <w:rPr>
          <w:rFonts w:cs="Times New Roman"/>
          <w:sz w:val="28"/>
          <w:szCs w:val="28"/>
        </w:rPr>
        <w:t xml:space="preserve"> for this large variation is due to</w:t>
      </w:r>
      <w:r w:rsidR="002D05C8">
        <w:rPr>
          <w:rFonts w:cs="Times New Roman"/>
          <w:sz w:val="28"/>
          <w:szCs w:val="28"/>
        </w:rPr>
        <w:t xml:space="preserve"> the distribution of the data</w:t>
      </w:r>
      <w:r w:rsidR="007F0118">
        <w:rPr>
          <w:rFonts w:cs="Times New Roman"/>
          <w:sz w:val="28"/>
          <w:szCs w:val="28"/>
        </w:rPr>
        <w:t xml:space="preserve"> in the case of small firms as there is only the variation of </w:t>
      </w:r>
      <w:r w:rsidR="00950E01">
        <w:rPr>
          <w:rFonts w:cs="Times New Roman"/>
          <w:sz w:val="28"/>
          <w:szCs w:val="28"/>
        </w:rPr>
        <w:t xml:space="preserve">1.37 </w:t>
      </w:r>
      <w:r w:rsidR="00735D79">
        <w:rPr>
          <w:rFonts w:cs="Times New Roman"/>
          <w:sz w:val="28"/>
          <w:szCs w:val="28"/>
        </w:rPr>
        <w:t>Crore though the change in percentage is huge.</w:t>
      </w:r>
    </w:p>
    <w:p w14:paraId="35FCEB1C" w14:textId="22B4A47E" w:rsidR="00FC5A4C" w:rsidRDefault="009D6AE2" w:rsidP="005942EC">
      <w:pPr>
        <w:rPr>
          <w:rFonts w:cs="Times New Roman"/>
          <w:sz w:val="28"/>
          <w:szCs w:val="28"/>
        </w:rPr>
      </w:pPr>
      <w:r>
        <w:rPr>
          <w:rFonts w:cs="Times New Roman"/>
          <w:sz w:val="28"/>
          <w:szCs w:val="28"/>
        </w:rPr>
        <w:t>It can easily be note</w:t>
      </w:r>
      <w:r w:rsidR="00855BDB">
        <w:rPr>
          <w:rFonts w:cs="Times New Roman"/>
          <w:sz w:val="28"/>
          <w:szCs w:val="28"/>
        </w:rPr>
        <w:t xml:space="preserve">d </w:t>
      </w:r>
      <w:r>
        <w:rPr>
          <w:rFonts w:cs="Times New Roman"/>
          <w:sz w:val="28"/>
          <w:szCs w:val="28"/>
        </w:rPr>
        <w:t>that compared to large firms, small firms have reflected a higher growth</w:t>
      </w:r>
      <w:r w:rsidR="00C14982">
        <w:rPr>
          <w:rFonts w:cs="Times New Roman"/>
          <w:sz w:val="28"/>
          <w:szCs w:val="28"/>
        </w:rPr>
        <w:t xml:space="preserve"> </w:t>
      </w:r>
      <w:r>
        <w:rPr>
          <w:rFonts w:cs="Times New Roman"/>
          <w:sz w:val="28"/>
          <w:szCs w:val="28"/>
        </w:rPr>
        <w:t xml:space="preserve">rate </w:t>
      </w:r>
      <w:r w:rsidR="00C14982">
        <w:rPr>
          <w:rFonts w:cs="Times New Roman"/>
          <w:sz w:val="28"/>
          <w:szCs w:val="28"/>
        </w:rPr>
        <w:t>during the pandemic.</w:t>
      </w:r>
      <w:r w:rsidR="005C6095">
        <w:rPr>
          <w:rFonts w:cs="Times New Roman"/>
          <w:sz w:val="28"/>
          <w:szCs w:val="28"/>
        </w:rPr>
        <w:t xml:space="preserve"> This shows that it is harder for large firms to reduce the costs and also raise the level of revenue during a time of disruption in the economy.</w:t>
      </w:r>
      <w:r w:rsidR="00870DE9">
        <w:rPr>
          <w:rFonts w:cs="Times New Roman"/>
          <w:sz w:val="28"/>
          <w:szCs w:val="28"/>
        </w:rPr>
        <w:t xml:space="preserve"> For example, many listed firms such as TCS</w:t>
      </w:r>
      <w:r w:rsidR="00B414AE">
        <w:rPr>
          <w:rFonts w:cs="Times New Roman"/>
          <w:sz w:val="28"/>
          <w:szCs w:val="28"/>
        </w:rPr>
        <w:t>,</w:t>
      </w:r>
      <w:r w:rsidR="00B270B7">
        <w:rPr>
          <w:rFonts w:cs="Times New Roman"/>
          <w:sz w:val="28"/>
          <w:szCs w:val="28"/>
        </w:rPr>
        <w:t xml:space="preserve"> </w:t>
      </w:r>
      <w:r w:rsidR="00B414AE">
        <w:rPr>
          <w:rFonts w:cs="Times New Roman"/>
          <w:sz w:val="28"/>
          <w:szCs w:val="28"/>
        </w:rPr>
        <w:t xml:space="preserve">Wipro </w:t>
      </w:r>
      <w:r w:rsidR="00B414AE">
        <w:rPr>
          <w:rFonts w:cs="Times New Roman"/>
          <w:sz w:val="28"/>
          <w:szCs w:val="28"/>
        </w:rPr>
        <w:lastRenderedPageBreak/>
        <w:t>have taken an employee centric policy by guaranteeing</w:t>
      </w:r>
      <w:r w:rsidR="00B270B7">
        <w:rPr>
          <w:rFonts w:cs="Times New Roman"/>
          <w:sz w:val="28"/>
          <w:szCs w:val="28"/>
        </w:rPr>
        <w:t xml:space="preserve"> </w:t>
      </w:r>
      <w:r w:rsidR="007044A8">
        <w:rPr>
          <w:rFonts w:cs="Times New Roman"/>
          <w:sz w:val="28"/>
          <w:szCs w:val="28"/>
        </w:rPr>
        <w:t xml:space="preserve">policies such as No job cuts and ensuring full wage. </w:t>
      </w:r>
      <w:r w:rsidR="0030780A">
        <w:rPr>
          <w:rFonts w:cs="Times New Roman"/>
          <w:sz w:val="28"/>
          <w:szCs w:val="28"/>
        </w:rPr>
        <w:t>Also,</w:t>
      </w:r>
      <w:r w:rsidR="004A2853">
        <w:rPr>
          <w:rFonts w:cs="Times New Roman"/>
          <w:sz w:val="28"/>
          <w:szCs w:val="28"/>
        </w:rPr>
        <w:t xml:space="preserve"> these firms also incur huge expenses for their high valued fixed capital assets</w:t>
      </w:r>
      <w:r w:rsidR="00EB3471">
        <w:rPr>
          <w:rFonts w:cs="Times New Roman"/>
          <w:sz w:val="28"/>
          <w:szCs w:val="28"/>
        </w:rPr>
        <w:t xml:space="preserve"> from which they were experiencing Economies of Scal</w:t>
      </w:r>
      <w:r w:rsidR="00F56C14">
        <w:rPr>
          <w:rFonts w:cs="Times New Roman"/>
          <w:sz w:val="28"/>
          <w:szCs w:val="28"/>
        </w:rPr>
        <w:t>e</w:t>
      </w:r>
      <w:r w:rsidR="00EB3471">
        <w:rPr>
          <w:rFonts w:cs="Times New Roman"/>
          <w:sz w:val="28"/>
          <w:szCs w:val="28"/>
        </w:rPr>
        <w:t xml:space="preserve"> in the Pre-Pandemic period.</w:t>
      </w:r>
      <w:r w:rsidR="002B3C53">
        <w:rPr>
          <w:rFonts w:cs="Times New Roman"/>
          <w:sz w:val="28"/>
          <w:szCs w:val="28"/>
        </w:rPr>
        <w:t xml:space="preserve"> </w:t>
      </w:r>
      <w:r w:rsidR="0030780A">
        <w:rPr>
          <w:rFonts w:cs="Times New Roman"/>
          <w:sz w:val="28"/>
          <w:szCs w:val="28"/>
        </w:rPr>
        <w:t>Also,</w:t>
      </w:r>
      <w:r w:rsidR="002B3C53">
        <w:rPr>
          <w:rFonts w:cs="Times New Roman"/>
          <w:sz w:val="28"/>
          <w:szCs w:val="28"/>
        </w:rPr>
        <w:t xml:space="preserve"> it is harder for them to reduce the wages they provide for the </w:t>
      </w:r>
      <w:r w:rsidR="004757C6">
        <w:rPr>
          <w:rFonts w:cs="Times New Roman"/>
          <w:sz w:val="28"/>
          <w:szCs w:val="28"/>
        </w:rPr>
        <w:t xml:space="preserve">hired employees due to the </w:t>
      </w:r>
      <w:r w:rsidR="0030780A">
        <w:rPr>
          <w:rFonts w:cs="Times New Roman"/>
          <w:sz w:val="28"/>
          <w:szCs w:val="28"/>
        </w:rPr>
        <w:t>social</w:t>
      </w:r>
      <w:r w:rsidR="00533F0B">
        <w:rPr>
          <w:rFonts w:cs="Times New Roman"/>
          <w:sz w:val="28"/>
          <w:szCs w:val="28"/>
        </w:rPr>
        <w:t xml:space="preserve"> image conservation. In addition to </w:t>
      </w:r>
      <w:r w:rsidR="0030780A">
        <w:rPr>
          <w:rFonts w:cs="Times New Roman"/>
          <w:sz w:val="28"/>
          <w:szCs w:val="28"/>
        </w:rPr>
        <w:t>this, mandatory</w:t>
      </w:r>
      <w:r w:rsidR="00533F0B">
        <w:rPr>
          <w:rFonts w:cs="Times New Roman"/>
          <w:sz w:val="28"/>
          <w:szCs w:val="28"/>
        </w:rPr>
        <w:t xml:space="preserve"> payments such as C</w:t>
      </w:r>
      <w:r w:rsidR="006A7750">
        <w:rPr>
          <w:rFonts w:cs="Times New Roman"/>
          <w:sz w:val="28"/>
          <w:szCs w:val="28"/>
        </w:rPr>
        <w:t>orporate Social Responsibility (CSR)</w:t>
      </w:r>
      <w:r w:rsidR="002E5508">
        <w:rPr>
          <w:rFonts w:cs="Times New Roman"/>
          <w:sz w:val="28"/>
          <w:szCs w:val="28"/>
        </w:rPr>
        <w:t xml:space="preserve"> also makes them unable to reduce their costs to the desired level.</w:t>
      </w:r>
      <w:r w:rsidR="00B03A11">
        <w:rPr>
          <w:rFonts w:cs="Times New Roman"/>
          <w:sz w:val="28"/>
          <w:szCs w:val="28"/>
        </w:rPr>
        <w:t xml:space="preserve"> Management of these firms will be such that there exi</w:t>
      </w:r>
      <w:r w:rsidR="002425AA">
        <w:rPr>
          <w:rFonts w:cs="Times New Roman"/>
          <w:sz w:val="28"/>
          <w:szCs w:val="28"/>
        </w:rPr>
        <w:t>st</w:t>
      </w:r>
      <w:r w:rsidR="00B03A11">
        <w:rPr>
          <w:rFonts w:cs="Times New Roman"/>
          <w:sz w:val="28"/>
          <w:szCs w:val="28"/>
        </w:rPr>
        <w:t xml:space="preserve">s a systematic hierarchy and this also makes </w:t>
      </w:r>
      <w:r w:rsidR="002425AA">
        <w:rPr>
          <w:rFonts w:cs="Times New Roman"/>
          <w:sz w:val="28"/>
          <w:szCs w:val="28"/>
        </w:rPr>
        <w:t>them difficult to reduce the costs.</w:t>
      </w:r>
    </w:p>
    <w:p w14:paraId="42D459DA" w14:textId="6C37DEC6" w:rsidR="007C30E0" w:rsidRDefault="007C30E0" w:rsidP="005942EC">
      <w:pPr>
        <w:rPr>
          <w:rFonts w:cs="Times New Roman"/>
          <w:sz w:val="28"/>
          <w:szCs w:val="28"/>
        </w:rPr>
      </w:pPr>
      <w:r>
        <w:rPr>
          <w:rFonts w:cs="Times New Roman"/>
          <w:sz w:val="28"/>
          <w:szCs w:val="28"/>
        </w:rPr>
        <w:t xml:space="preserve">Against these, </w:t>
      </w:r>
      <w:r w:rsidR="00B92576">
        <w:rPr>
          <w:rFonts w:cs="Times New Roman"/>
          <w:sz w:val="28"/>
          <w:szCs w:val="28"/>
        </w:rPr>
        <w:t>t</w:t>
      </w:r>
      <w:r>
        <w:rPr>
          <w:rFonts w:cs="Times New Roman"/>
          <w:sz w:val="28"/>
          <w:szCs w:val="28"/>
        </w:rPr>
        <w:t xml:space="preserve">he </w:t>
      </w:r>
      <w:r w:rsidR="0030780A">
        <w:rPr>
          <w:rFonts w:cs="Times New Roman"/>
          <w:sz w:val="28"/>
          <w:szCs w:val="28"/>
        </w:rPr>
        <w:t>small</w:t>
      </w:r>
      <w:r>
        <w:rPr>
          <w:rFonts w:cs="Times New Roman"/>
          <w:sz w:val="28"/>
          <w:szCs w:val="28"/>
        </w:rPr>
        <w:t xml:space="preserve"> firms </w:t>
      </w:r>
      <w:r w:rsidR="00B92576">
        <w:rPr>
          <w:rFonts w:cs="Times New Roman"/>
          <w:sz w:val="28"/>
          <w:szCs w:val="28"/>
        </w:rPr>
        <w:t xml:space="preserve">many of which are informal will find it easy </w:t>
      </w:r>
      <w:r w:rsidR="00C02C39">
        <w:rPr>
          <w:rFonts w:cs="Times New Roman"/>
          <w:sz w:val="28"/>
          <w:szCs w:val="28"/>
        </w:rPr>
        <w:t>to cut their costs to the desired level. many of them</w:t>
      </w:r>
      <w:r w:rsidR="00A32403">
        <w:rPr>
          <w:rFonts w:cs="Times New Roman"/>
          <w:sz w:val="28"/>
          <w:szCs w:val="28"/>
        </w:rPr>
        <w:t xml:space="preserve"> followed layoffs, focused on Work from Home culture</w:t>
      </w:r>
      <w:r w:rsidR="00BB21FE">
        <w:rPr>
          <w:rFonts w:cs="Times New Roman"/>
          <w:sz w:val="28"/>
          <w:szCs w:val="28"/>
        </w:rPr>
        <w:t xml:space="preserve">, cut all the unnecessary expenditures </w:t>
      </w:r>
      <w:r w:rsidR="00CD323C">
        <w:rPr>
          <w:rFonts w:cs="Times New Roman"/>
          <w:sz w:val="28"/>
          <w:szCs w:val="28"/>
        </w:rPr>
        <w:t>to reduce their costs. Due to the small size of annual turnover and low investments, they are also free from mandatory payments such as Corporate Social Responsibi</w:t>
      </w:r>
      <w:r w:rsidR="00D8176A">
        <w:rPr>
          <w:rFonts w:cs="Times New Roman"/>
          <w:sz w:val="28"/>
          <w:szCs w:val="28"/>
        </w:rPr>
        <w:t>lity</w:t>
      </w:r>
      <w:r w:rsidR="0030780A">
        <w:rPr>
          <w:rFonts w:cs="Times New Roman"/>
          <w:sz w:val="28"/>
          <w:szCs w:val="28"/>
        </w:rPr>
        <w:t xml:space="preserve"> </w:t>
      </w:r>
      <w:r w:rsidR="00CD323C">
        <w:rPr>
          <w:rFonts w:cs="Times New Roman"/>
          <w:sz w:val="28"/>
          <w:szCs w:val="28"/>
        </w:rPr>
        <w:t>(CSR).</w:t>
      </w:r>
      <w:r w:rsidR="00BB21FE">
        <w:rPr>
          <w:rFonts w:cs="Times New Roman"/>
          <w:sz w:val="28"/>
          <w:szCs w:val="28"/>
        </w:rPr>
        <w:t xml:space="preserve"> </w:t>
      </w:r>
      <w:r w:rsidR="0030780A">
        <w:rPr>
          <w:rFonts w:cs="Times New Roman"/>
          <w:sz w:val="28"/>
          <w:szCs w:val="28"/>
        </w:rPr>
        <w:t>Also,</w:t>
      </w:r>
      <w:r w:rsidR="00D3026A">
        <w:rPr>
          <w:rFonts w:cs="Times New Roman"/>
          <w:sz w:val="28"/>
          <w:szCs w:val="28"/>
        </w:rPr>
        <w:t xml:space="preserve"> the benefits from the </w:t>
      </w:r>
      <w:r w:rsidR="009C196F">
        <w:rPr>
          <w:rFonts w:cs="Times New Roman"/>
          <w:sz w:val="28"/>
          <w:szCs w:val="28"/>
        </w:rPr>
        <w:t>governmental sides in the form of Startup Prom</w:t>
      </w:r>
      <w:r w:rsidR="00940B70">
        <w:rPr>
          <w:rFonts w:cs="Times New Roman"/>
          <w:sz w:val="28"/>
          <w:szCs w:val="28"/>
        </w:rPr>
        <w:t>o</w:t>
      </w:r>
      <w:r w:rsidR="009C196F">
        <w:rPr>
          <w:rFonts w:cs="Times New Roman"/>
          <w:sz w:val="28"/>
          <w:szCs w:val="28"/>
        </w:rPr>
        <w:t xml:space="preserve">tions </w:t>
      </w:r>
      <w:r w:rsidR="006E2FD5">
        <w:rPr>
          <w:rFonts w:cs="Times New Roman"/>
          <w:sz w:val="28"/>
          <w:szCs w:val="28"/>
        </w:rPr>
        <w:t xml:space="preserve">by making easy </w:t>
      </w:r>
      <w:r w:rsidR="00940B70">
        <w:rPr>
          <w:rFonts w:cs="Times New Roman"/>
          <w:sz w:val="28"/>
          <w:szCs w:val="28"/>
        </w:rPr>
        <w:t>accessibility</w:t>
      </w:r>
      <w:r w:rsidR="006E2FD5">
        <w:rPr>
          <w:rFonts w:cs="Times New Roman"/>
          <w:sz w:val="28"/>
          <w:szCs w:val="28"/>
        </w:rPr>
        <w:t xml:space="preserve"> credits also helps the</w:t>
      </w:r>
      <w:r w:rsidR="00940B70">
        <w:rPr>
          <w:rFonts w:cs="Times New Roman"/>
          <w:sz w:val="28"/>
          <w:szCs w:val="28"/>
        </w:rPr>
        <w:t>se firms.</w:t>
      </w:r>
    </w:p>
    <w:p w14:paraId="62DE1044" w14:textId="01C55DD0" w:rsidR="00D33027" w:rsidRDefault="00D33027" w:rsidP="00421E8B">
      <w:pPr>
        <w:pStyle w:val="Heading1"/>
      </w:pPr>
      <w:r w:rsidRPr="005D739F">
        <w:t>IMPACT ON THE NUMBER OF EMPLOYEES</w:t>
      </w:r>
    </w:p>
    <w:p w14:paraId="65FAF48B" w14:textId="33AE9EB8" w:rsidR="00EA70F0" w:rsidRDefault="0030780A" w:rsidP="005942EC">
      <w:pPr>
        <w:rPr>
          <w:noProof/>
        </w:rPr>
      </w:pPr>
      <w:r>
        <w:rPr>
          <w:noProof/>
        </w:rPr>
        <mc:AlternateContent>
          <mc:Choice Requires="wps">
            <w:drawing>
              <wp:anchor distT="0" distB="0" distL="114300" distR="114300" simplePos="0" relativeHeight="251677696" behindDoc="0" locked="0" layoutInCell="1" allowOverlap="1" wp14:anchorId="434AA937" wp14:editId="08F7F3D0">
                <wp:simplePos x="0" y="0"/>
                <wp:positionH relativeFrom="column">
                  <wp:posOffset>739140</wp:posOffset>
                </wp:positionH>
                <wp:positionV relativeFrom="paragraph">
                  <wp:posOffset>4173220</wp:posOffset>
                </wp:positionV>
                <wp:extent cx="4351020" cy="635"/>
                <wp:effectExtent l="0" t="0" r="0" b="0"/>
                <wp:wrapTopAndBottom/>
                <wp:docPr id="470203445" name="Text Box 1"/>
                <wp:cNvGraphicFramePr/>
                <a:graphic xmlns:a="http://schemas.openxmlformats.org/drawingml/2006/main">
                  <a:graphicData uri="http://schemas.microsoft.com/office/word/2010/wordprocessingShape">
                    <wps:wsp>
                      <wps:cNvSpPr txBox="1"/>
                      <wps:spPr>
                        <a:xfrm>
                          <a:off x="0" y="0"/>
                          <a:ext cx="4351020" cy="635"/>
                        </a:xfrm>
                        <a:prstGeom prst="rect">
                          <a:avLst/>
                        </a:prstGeom>
                        <a:solidFill>
                          <a:prstClr val="white"/>
                        </a:solidFill>
                        <a:ln>
                          <a:noFill/>
                        </a:ln>
                      </wps:spPr>
                      <wps:txbx>
                        <w:txbxContent>
                          <w:p w14:paraId="4F471997" w14:textId="12D591F1" w:rsidR="0030780A" w:rsidRPr="00906803" w:rsidRDefault="0030780A" w:rsidP="0030780A">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4</w:t>
                            </w:r>
                            <w:r w:rsidRPr="00906803">
                              <w:rPr>
                                <w:sz w:val="24"/>
                                <w:szCs w:val="24"/>
                              </w:rPr>
                              <w:fldChar w:fldCharType="end"/>
                            </w:r>
                            <w:r w:rsidRPr="00906803">
                              <w:rPr>
                                <w:sz w:val="24"/>
                                <w:szCs w:val="24"/>
                              </w:rPr>
                              <w:t>:  Average number of Employees in Small firms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4AA937" id="_x0000_s1028" type="#_x0000_t202" style="position:absolute;left:0;text-align:left;margin-left:58.2pt;margin-top:328.6pt;width:342.6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" stroked="f">
                <v:textbox style="mso-fit-shape-to-text:t" inset="0,0,0,0">
                  <w:txbxContent>
                    <w:p w14:paraId="4F471997" w14:textId="12D591F1" w:rsidR="0030780A" w:rsidRPr="00906803" w:rsidRDefault="0030780A" w:rsidP="0030780A">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4</w:t>
                      </w:r>
                      <w:r w:rsidRPr="00906803">
                        <w:rPr>
                          <w:sz w:val="24"/>
                          <w:szCs w:val="24"/>
                        </w:rPr>
                        <w:fldChar w:fldCharType="end"/>
                      </w:r>
                      <w:r w:rsidRPr="00906803">
                        <w:rPr>
                          <w:sz w:val="24"/>
                          <w:szCs w:val="24"/>
                        </w:rPr>
                        <w:t>:  Average number of Employees in Small firms</w:t>
                      </w:r>
                    </w:p>
                  </w:txbxContent>
                </v:textbox>
                <w10:wrap type="topAndBottom"/>
              </v:shape>
            </w:pict>
          </mc:Fallback>
        </mc:AlternateContent>
      </w:r>
      <w:r>
        <w:rPr>
          <w:noProof/>
        </w:rPr>
        <w:drawing>
          <wp:anchor distT="0" distB="0" distL="114300" distR="114300" simplePos="0" relativeHeight="251665408" behindDoc="1" locked="0" layoutInCell="1" allowOverlap="1" wp14:anchorId="06621C64" wp14:editId="6C352CAF">
            <wp:simplePos x="0" y="0"/>
            <wp:positionH relativeFrom="margin">
              <wp:posOffset>739140</wp:posOffset>
            </wp:positionH>
            <wp:positionV relativeFrom="paragraph">
              <wp:posOffset>1682115</wp:posOffset>
            </wp:positionV>
            <wp:extent cx="4351020" cy="2433955"/>
            <wp:effectExtent l="0" t="0" r="11430" b="4445"/>
            <wp:wrapTopAndBottom/>
            <wp:docPr id="1999660109" name="Chart 1">
              <a:extLst xmlns:a="http://schemas.openxmlformats.org/drawingml/2006/main">
                <a:ext uri="{FF2B5EF4-FFF2-40B4-BE49-F238E27FC236}">
                  <a16:creationId xmlns:a16="http://schemas.microsoft.com/office/drawing/2014/main" id="{3D225D0C-83C1-5FF1-8973-D8B86D616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26927">
        <w:rPr>
          <w:rFonts w:cs="Times New Roman"/>
          <w:sz w:val="28"/>
          <w:szCs w:val="28"/>
        </w:rPr>
        <w:t xml:space="preserve">It is easy to draw insights from the graphs regarding the </w:t>
      </w:r>
      <w:r w:rsidR="00D9160B">
        <w:rPr>
          <w:rFonts w:cs="Times New Roman"/>
          <w:sz w:val="28"/>
          <w:szCs w:val="28"/>
        </w:rPr>
        <w:t>difference of how the pandemic affected both the sections of firms</w:t>
      </w:r>
      <w:r w:rsidR="00B92CF0">
        <w:rPr>
          <w:rFonts w:cs="Times New Roman"/>
          <w:sz w:val="28"/>
          <w:szCs w:val="28"/>
        </w:rPr>
        <w:t>. Though it is common that the pa</w:t>
      </w:r>
      <w:r w:rsidR="001C456D">
        <w:rPr>
          <w:rFonts w:cs="Times New Roman"/>
          <w:sz w:val="28"/>
          <w:szCs w:val="28"/>
        </w:rPr>
        <w:t>n</w:t>
      </w:r>
      <w:r w:rsidR="00B92CF0">
        <w:rPr>
          <w:rFonts w:cs="Times New Roman"/>
          <w:sz w:val="28"/>
          <w:szCs w:val="28"/>
        </w:rPr>
        <w:t>demic has resulted in the</w:t>
      </w:r>
      <w:r w:rsidR="009A26F5">
        <w:rPr>
          <w:rFonts w:cs="Times New Roman"/>
          <w:sz w:val="28"/>
          <w:szCs w:val="28"/>
        </w:rPr>
        <w:t xml:space="preserve"> job cuts as evident from the graph in both </w:t>
      </w:r>
      <w:proofErr w:type="gramStart"/>
      <w:r w:rsidR="009A26F5">
        <w:rPr>
          <w:rFonts w:cs="Times New Roman"/>
          <w:sz w:val="28"/>
          <w:szCs w:val="28"/>
        </w:rPr>
        <w:t>sections(</w:t>
      </w:r>
      <w:r w:rsidR="00260D9E">
        <w:rPr>
          <w:rFonts w:cs="Times New Roman"/>
          <w:sz w:val="28"/>
          <w:szCs w:val="28"/>
        </w:rPr>
        <w:t xml:space="preserve"> </w:t>
      </w:r>
      <w:r w:rsidR="00260D9E">
        <w:rPr>
          <w:rFonts w:cs="Times New Roman"/>
          <w:sz w:val="28"/>
          <w:szCs w:val="28"/>
        </w:rPr>
        <w:lastRenderedPageBreak/>
        <w:t>from</w:t>
      </w:r>
      <w:proofErr w:type="gramEnd"/>
      <w:r w:rsidR="00260D9E">
        <w:rPr>
          <w:rFonts w:cs="Times New Roman"/>
          <w:sz w:val="28"/>
          <w:szCs w:val="28"/>
        </w:rPr>
        <w:t xml:space="preserve"> 81 to 65 in small firms and </w:t>
      </w:r>
      <w:r w:rsidR="002E1D04">
        <w:rPr>
          <w:rFonts w:cs="Times New Roman"/>
          <w:sz w:val="28"/>
          <w:szCs w:val="28"/>
        </w:rPr>
        <w:t xml:space="preserve"> from 41799 to 41602 average workers in larger firms) there is a differen</w:t>
      </w:r>
      <w:r w:rsidR="00135491">
        <w:rPr>
          <w:rFonts w:cs="Times New Roman"/>
          <w:sz w:val="28"/>
          <w:szCs w:val="28"/>
        </w:rPr>
        <w:t xml:space="preserve">ce </w:t>
      </w:r>
      <w:r w:rsidR="009205E1">
        <w:rPr>
          <w:rFonts w:cs="Times New Roman"/>
          <w:sz w:val="28"/>
          <w:szCs w:val="28"/>
        </w:rPr>
        <w:t>in th</w:t>
      </w:r>
      <w:r w:rsidR="001C456D">
        <w:rPr>
          <w:rFonts w:cs="Times New Roman"/>
          <w:sz w:val="28"/>
          <w:szCs w:val="28"/>
        </w:rPr>
        <w:t>e</w:t>
      </w:r>
      <w:r w:rsidR="009205E1">
        <w:rPr>
          <w:rFonts w:cs="Times New Roman"/>
          <w:sz w:val="28"/>
          <w:szCs w:val="28"/>
        </w:rPr>
        <w:t xml:space="preserve"> extent of this decrement.</w:t>
      </w:r>
      <w:r w:rsidR="00A8709A">
        <w:rPr>
          <w:rFonts w:cs="Times New Roman"/>
          <w:sz w:val="28"/>
          <w:szCs w:val="28"/>
        </w:rPr>
        <w:t xml:space="preserve"> This can clearly be explained using the graph which describes the</w:t>
      </w:r>
      <w:r w:rsidR="00B74A94">
        <w:rPr>
          <w:rFonts w:cs="Times New Roman"/>
          <w:sz w:val="28"/>
          <w:szCs w:val="28"/>
        </w:rPr>
        <w:t xml:space="preserve"> percentage annual change in the number of employees.</w:t>
      </w:r>
      <w:r w:rsidR="00EA4919" w:rsidRPr="00EA4919">
        <w:rPr>
          <w:noProof/>
        </w:rPr>
        <w:t xml:space="preserve"> </w:t>
      </w:r>
    </w:p>
    <w:p w14:paraId="7629615B" w14:textId="354AD3E9" w:rsidR="005D739F" w:rsidRPr="00EA70F0" w:rsidRDefault="00183549" w:rsidP="005942EC">
      <w:pPr>
        <w:rPr>
          <w:noProof/>
        </w:rPr>
      </w:pPr>
      <w:r>
        <w:rPr>
          <w:rFonts w:cs="Times New Roman"/>
          <w:sz w:val="28"/>
          <w:szCs w:val="28"/>
        </w:rPr>
        <w:t>After considera</w:t>
      </w:r>
      <w:r w:rsidR="003A4309">
        <w:rPr>
          <w:rFonts w:cs="Times New Roman"/>
          <w:sz w:val="28"/>
          <w:szCs w:val="28"/>
        </w:rPr>
        <w:t xml:space="preserve">ble </w:t>
      </w:r>
      <w:proofErr w:type="gramStart"/>
      <w:r w:rsidR="003A4309">
        <w:rPr>
          <w:rFonts w:cs="Times New Roman"/>
          <w:sz w:val="28"/>
          <w:szCs w:val="28"/>
        </w:rPr>
        <w:t>amount</w:t>
      </w:r>
      <w:proofErr w:type="gramEnd"/>
      <w:r w:rsidR="003A4309">
        <w:rPr>
          <w:rFonts w:cs="Times New Roman"/>
          <w:sz w:val="28"/>
          <w:szCs w:val="28"/>
        </w:rPr>
        <w:t xml:space="preserve"> of fluctuations in the previous years,</w:t>
      </w:r>
      <w:r w:rsidR="00784FFD">
        <w:rPr>
          <w:rFonts w:cs="Times New Roman"/>
          <w:sz w:val="28"/>
          <w:szCs w:val="28"/>
        </w:rPr>
        <w:t xml:space="preserve"> the change in </w:t>
      </w:r>
      <w:r w:rsidR="00D7723A">
        <w:rPr>
          <w:rFonts w:cs="Times New Roman"/>
          <w:sz w:val="28"/>
          <w:szCs w:val="28"/>
        </w:rPr>
        <w:t>employment has f</w:t>
      </w:r>
      <w:r w:rsidR="001D6070">
        <w:rPr>
          <w:rFonts w:cs="Times New Roman"/>
          <w:sz w:val="28"/>
          <w:szCs w:val="28"/>
        </w:rPr>
        <w:t>a</w:t>
      </w:r>
      <w:r w:rsidR="00D7723A">
        <w:rPr>
          <w:rFonts w:cs="Times New Roman"/>
          <w:sz w:val="28"/>
          <w:szCs w:val="28"/>
        </w:rPr>
        <w:t>llen in the year 20</w:t>
      </w:r>
      <w:r w:rsidR="0073541B">
        <w:rPr>
          <w:rFonts w:cs="Times New Roman"/>
          <w:sz w:val="28"/>
          <w:szCs w:val="28"/>
        </w:rPr>
        <w:t>20. But for large firms,</w:t>
      </w:r>
      <w:r w:rsidR="00355FA3">
        <w:rPr>
          <w:rFonts w:cs="Times New Roman"/>
          <w:sz w:val="28"/>
          <w:szCs w:val="28"/>
        </w:rPr>
        <w:t xml:space="preserve"> it is -0.4713% and for small f</w:t>
      </w:r>
      <w:r w:rsidR="006322BD">
        <w:rPr>
          <w:rFonts w:cs="Times New Roman"/>
          <w:sz w:val="28"/>
          <w:szCs w:val="28"/>
        </w:rPr>
        <w:t>irms it is -19.7531%</w:t>
      </w:r>
      <w:r w:rsidR="001D6070">
        <w:rPr>
          <w:rFonts w:cs="Times New Roman"/>
          <w:sz w:val="28"/>
          <w:szCs w:val="28"/>
        </w:rPr>
        <w:t>.</w:t>
      </w:r>
      <w:r w:rsidR="00784FFD">
        <w:rPr>
          <w:rFonts w:cs="Times New Roman"/>
          <w:sz w:val="28"/>
          <w:szCs w:val="28"/>
        </w:rPr>
        <w:t xml:space="preserve"> </w:t>
      </w:r>
    </w:p>
    <w:p w14:paraId="2C88C7E9" w14:textId="19F455CB" w:rsidR="004E43E7" w:rsidRPr="000C0172" w:rsidRDefault="00EA70F0" w:rsidP="005942EC">
      <w:pPr>
        <w:rPr>
          <w:rFonts w:cs="Times New Roman"/>
          <w:sz w:val="28"/>
          <w:szCs w:val="28"/>
          <w:shd w:val="clear" w:color="auto" w:fill="FCFCFC"/>
        </w:rPr>
      </w:pPr>
      <w:r w:rsidRPr="000C0172">
        <w:rPr>
          <w:noProof/>
          <w:sz w:val="28"/>
          <w:szCs w:val="28"/>
        </w:rPr>
        <w:lastRenderedPageBreak/>
        <mc:AlternateContent>
          <mc:Choice Requires="wps">
            <w:drawing>
              <wp:anchor distT="0" distB="0" distL="114300" distR="114300" simplePos="0" relativeHeight="251681792" behindDoc="0" locked="0" layoutInCell="1" allowOverlap="1" wp14:anchorId="19D8CCD6" wp14:editId="13A22478">
                <wp:simplePos x="0" y="0"/>
                <wp:positionH relativeFrom="margin">
                  <wp:align>center</wp:align>
                </wp:positionH>
                <wp:positionV relativeFrom="paragraph">
                  <wp:posOffset>8587105</wp:posOffset>
                </wp:positionV>
                <wp:extent cx="4899660" cy="635"/>
                <wp:effectExtent l="0" t="0" r="0" b="0"/>
                <wp:wrapTopAndBottom/>
                <wp:docPr id="741641859" name="Text Box 1"/>
                <wp:cNvGraphicFramePr/>
                <a:graphic xmlns:a="http://schemas.openxmlformats.org/drawingml/2006/main">
                  <a:graphicData uri="http://schemas.microsoft.com/office/word/2010/wordprocessingShape">
                    <wps:wsp>
                      <wps:cNvSpPr txBox="1"/>
                      <wps:spPr>
                        <a:xfrm>
                          <a:off x="0" y="0"/>
                          <a:ext cx="4899660" cy="635"/>
                        </a:xfrm>
                        <a:prstGeom prst="rect">
                          <a:avLst/>
                        </a:prstGeom>
                        <a:solidFill>
                          <a:prstClr val="white"/>
                        </a:solidFill>
                        <a:ln>
                          <a:noFill/>
                        </a:ln>
                      </wps:spPr>
                      <wps:txbx>
                        <w:txbxContent>
                          <w:p w14:paraId="2F3BFDC5" w14:textId="334EB382" w:rsidR="00D2171A" w:rsidRPr="00906803" w:rsidRDefault="00D2171A" w:rsidP="00D2171A">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5</w:t>
                            </w:r>
                            <w:r w:rsidRPr="00906803">
                              <w:rPr>
                                <w:sz w:val="24"/>
                                <w:szCs w:val="24"/>
                              </w:rPr>
                              <w:fldChar w:fldCharType="end"/>
                            </w:r>
                            <w:r w:rsidRPr="00906803">
                              <w:rPr>
                                <w:sz w:val="24"/>
                                <w:szCs w:val="24"/>
                              </w:rPr>
                              <w:t>: Percentage change in number of employees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D8CCD6" id="_x0000_s1029" type="#_x0000_t202" style="position:absolute;left:0;text-align:left;margin-left:0;margin-top:676.15pt;width:385.8pt;height:.05pt;z-index:2516817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" stroked="f">
                <v:textbox style="mso-fit-shape-to-text:t" inset="0,0,0,0">
                  <w:txbxContent>
                    <w:p w14:paraId="2F3BFDC5" w14:textId="334EB382" w:rsidR="00D2171A" w:rsidRPr="00906803" w:rsidRDefault="00D2171A" w:rsidP="00D2171A">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5</w:t>
                      </w:r>
                      <w:r w:rsidRPr="00906803">
                        <w:rPr>
                          <w:sz w:val="24"/>
                          <w:szCs w:val="24"/>
                        </w:rPr>
                        <w:fldChar w:fldCharType="end"/>
                      </w:r>
                      <w:r w:rsidRPr="00906803">
                        <w:rPr>
                          <w:sz w:val="24"/>
                          <w:szCs w:val="24"/>
                        </w:rPr>
                        <w:t>: Percentage change in number of employees</w:t>
                      </w:r>
                    </w:p>
                  </w:txbxContent>
                </v:textbox>
                <w10:wrap type="topAndBottom" anchorx="margin"/>
              </v:shape>
            </w:pict>
          </mc:Fallback>
        </mc:AlternateContent>
      </w:r>
      <w:r w:rsidRPr="000C0172">
        <w:rPr>
          <w:noProof/>
          <w:sz w:val="28"/>
          <w:szCs w:val="28"/>
        </w:rPr>
        <w:drawing>
          <wp:anchor distT="0" distB="0" distL="114300" distR="114300" simplePos="0" relativeHeight="251667456" behindDoc="1" locked="0" layoutInCell="1" allowOverlap="1" wp14:anchorId="3A8B5E54" wp14:editId="4828E492">
            <wp:simplePos x="0" y="0"/>
            <wp:positionH relativeFrom="margin">
              <wp:align>center</wp:align>
            </wp:positionH>
            <wp:positionV relativeFrom="paragraph">
              <wp:posOffset>5977890</wp:posOffset>
            </wp:positionV>
            <wp:extent cx="4899660" cy="2872740"/>
            <wp:effectExtent l="0" t="0" r="15240" b="3810"/>
            <wp:wrapTopAndBottom/>
            <wp:docPr id="1834259809" name="Chart 1">
              <a:extLst xmlns:a="http://schemas.openxmlformats.org/drawingml/2006/main">
                <a:ext uri="{FF2B5EF4-FFF2-40B4-BE49-F238E27FC236}">
                  <a16:creationId xmlns:a16="http://schemas.microsoft.com/office/drawing/2014/main" id="{3BF88A93-22CC-68B9-4637-EAC97E3DD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0C0172">
        <w:rPr>
          <w:noProof/>
          <w:sz w:val="28"/>
          <w:szCs w:val="28"/>
        </w:rPr>
        <mc:AlternateContent>
          <mc:Choice Requires="wps">
            <w:drawing>
              <wp:anchor distT="0" distB="0" distL="114300" distR="114300" simplePos="0" relativeHeight="251679744" behindDoc="0" locked="0" layoutInCell="1" allowOverlap="1" wp14:anchorId="405BE875" wp14:editId="79828F5F">
                <wp:simplePos x="0" y="0"/>
                <wp:positionH relativeFrom="margin">
                  <wp:align>center</wp:align>
                </wp:positionH>
                <wp:positionV relativeFrom="paragraph">
                  <wp:posOffset>2943860</wp:posOffset>
                </wp:positionV>
                <wp:extent cx="4892040" cy="635"/>
                <wp:effectExtent l="0" t="0" r="3810" b="0"/>
                <wp:wrapTopAndBottom/>
                <wp:docPr id="1956290086" name="Text Box 1"/>
                <wp:cNvGraphicFramePr/>
                <a:graphic xmlns:a="http://schemas.openxmlformats.org/drawingml/2006/main">
                  <a:graphicData uri="http://schemas.microsoft.com/office/word/2010/wordprocessingShape">
                    <wps:wsp>
                      <wps:cNvSpPr txBox="1"/>
                      <wps:spPr>
                        <a:xfrm>
                          <a:off x="0" y="0"/>
                          <a:ext cx="4892040" cy="635"/>
                        </a:xfrm>
                        <a:prstGeom prst="rect">
                          <a:avLst/>
                        </a:prstGeom>
                        <a:solidFill>
                          <a:prstClr val="white"/>
                        </a:solidFill>
                        <a:ln>
                          <a:noFill/>
                        </a:ln>
                      </wps:spPr>
                      <wps:txbx>
                        <w:txbxContent>
                          <w:p w14:paraId="518B8279" w14:textId="2237D324" w:rsidR="009D29E8" w:rsidRPr="00906803" w:rsidRDefault="009D29E8" w:rsidP="009D29E8">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6</w:t>
                            </w:r>
                            <w:r w:rsidRPr="00906803">
                              <w:rPr>
                                <w:sz w:val="24"/>
                                <w:szCs w:val="24"/>
                              </w:rPr>
                              <w:fldChar w:fldCharType="end"/>
                            </w:r>
                            <w:r w:rsidRPr="00906803">
                              <w:rPr>
                                <w:sz w:val="24"/>
                                <w:szCs w:val="24"/>
                              </w:rPr>
                              <w:t>: Average number of employees in Large Firms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05BE875" id="_x0000_s1030" type="#_x0000_t202" style="position:absolute;left:0;text-align:left;margin-left:0;margin-top:231.8pt;width:385.2pt;height:.0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" stroked="f">
                <v:textbox style="mso-fit-shape-to-text:t" inset="0,0,0,0">
                  <w:txbxContent>
                    <w:p w14:paraId="518B8279" w14:textId="2237D324" w:rsidR="009D29E8" w:rsidRPr="00906803" w:rsidRDefault="009D29E8" w:rsidP="009D29E8">
                      <w:pPr>
                        <w:pStyle w:val="Caption"/>
                        <w:rPr>
                          <w:noProof/>
                          <w:sz w:val="24"/>
                          <w:szCs w:val="24"/>
                        </w:rPr>
                      </w:pPr>
                      <w:r w:rsidRPr="00906803">
                        <w:rPr>
                          <w:sz w:val="24"/>
                          <w:szCs w:val="24"/>
                        </w:rPr>
                        <w:t xml:space="preserve">Figure </w:t>
                      </w:r>
                      <w:r w:rsidRPr="00906803">
                        <w:rPr>
                          <w:sz w:val="24"/>
                          <w:szCs w:val="24"/>
                        </w:rPr>
                        <w:fldChar w:fldCharType="begin"/>
                      </w:r>
                      <w:r w:rsidRPr="00906803">
                        <w:rPr>
                          <w:sz w:val="24"/>
                          <w:szCs w:val="24"/>
                        </w:rPr>
                        <w:instrText xml:space="preserve"> SEQ Figure \* ARABIC </w:instrText>
                      </w:r>
                      <w:r w:rsidRPr="00906803">
                        <w:rPr>
                          <w:sz w:val="24"/>
                          <w:szCs w:val="24"/>
                        </w:rPr>
                        <w:fldChar w:fldCharType="separate"/>
                      </w:r>
                      <w:r w:rsidR="006D44A3">
                        <w:rPr>
                          <w:noProof/>
                          <w:sz w:val="24"/>
                          <w:szCs w:val="24"/>
                        </w:rPr>
                        <w:t>6</w:t>
                      </w:r>
                      <w:r w:rsidRPr="00906803">
                        <w:rPr>
                          <w:sz w:val="24"/>
                          <w:szCs w:val="24"/>
                        </w:rPr>
                        <w:fldChar w:fldCharType="end"/>
                      </w:r>
                      <w:r w:rsidRPr="00906803">
                        <w:rPr>
                          <w:sz w:val="24"/>
                          <w:szCs w:val="24"/>
                        </w:rPr>
                        <w:t>: Average number of employees in Large Firms</w:t>
                      </w:r>
                    </w:p>
                  </w:txbxContent>
                </v:textbox>
                <w10:wrap type="topAndBottom" anchorx="margin"/>
              </v:shape>
            </w:pict>
          </mc:Fallback>
        </mc:AlternateContent>
      </w:r>
      <w:r w:rsidRPr="000C0172">
        <w:rPr>
          <w:noProof/>
          <w:sz w:val="28"/>
          <w:szCs w:val="28"/>
        </w:rPr>
        <w:drawing>
          <wp:anchor distT="0" distB="0" distL="114300" distR="114300" simplePos="0" relativeHeight="251694080" behindDoc="1" locked="0" layoutInCell="1" allowOverlap="1" wp14:anchorId="0EFEE463" wp14:editId="4DDD1BA1">
            <wp:simplePos x="0" y="0"/>
            <wp:positionH relativeFrom="margin">
              <wp:align>center</wp:align>
            </wp:positionH>
            <wp:positionV relativeFrom="paragraph">
              <wp:posOffset>0</wp:posOffset>
            </wp:positionV>
            <wp:extent cx="4892040" cy="2857500"/>
            <wp:effectExtent l="0" t="0" r="3810" b="0"/>
            <wp:wrapTopAndBottom/>
            <wp:docPr id="982726982" name="Chart 1">
              <a:extLst xmlns:a="http://schemas.openxmlformats.org/drawingml/2006/main">
                <a:ext uri="{FF2B5EF4-FFF2-40B4-BE49-F238E27FC236}">
                  <a16:creationId xmlns:a16="http://schemas.microsoft.com/office/drawing/2014/main" id="{32B6B3F1-B381-1B72-F407-F27B77A13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917BE" w:rsidRPr="000C0172">
        <w:rPr>
          <w:rFonts w:cs="Times New Roman"/>
          <w:sz w:val="28"/>
          <w:szCs w:val="28"/>
        </w:rPr>
        <w:t>Layoffs actually reflects trade</w:t>
      </w:r>
      <w:r w:rsidR="00EB50B2" w:rsidRPr="000C0172">
        <w:rPr>
          <w:rFonts w:cs="Times New Roman"/>
          <w:sz w:val="28"/>
          <w:szCs w:val="28"/>
        </w:rPr>
        <w:t>-</w:t>
      </w:r>
      <w:r w:rsidR="005B26EB" w:rsidRPr="000C0172">
        <w:rPr>
          <w:rFonts w:cs="Times New Roman"/>
          <w:sz w:val="28"/>
          <w:szCs w:val="28"/>
        </w:rPr>
        <w:t>off between a firm</w:t>
      </w:r>
      <w:r w:rsidR="004208C5" w:rsidRPr="000C0172">
        <w:rPr>
          <w:rFonts w:cs="Times New Roman"/>
          <w:sz w:val="28"/>
          <w:szCs w:val="28"/>
        </w:rPr>
        <w:t>’s moral obl</w:t>
      </w:r>
      <w:r w:rsidR="005B0A9D" w:rsidRPr="000C0172">
        <w:rPr>
          <w:rFonts w:cs="Times New Roman"/>
          <w:sz w:val="28"/>
          <w:szCs w:val="28"/>
        </w:rPr>
        <w:t>i</w:t>
      </w:r>
      <w:r w:rsidR="004208C5" w:rsidRPr="000C0172">
        <w:rPr>
          <w:rFonts w:cs="Times New Roman"/>
          <w:sz w:val="28"/>
          <w:szCs w:val="28"/>
        </w:rPr>
        <w:t xml:space="preserve">gations toward employees and </w:t>
      </w:r>
      <w:proofErr w:type="gramStart"/>
      <w:r w:rsidR="004208C5" w:rsidRPr="000C0172">
        <w:rPr>
          <w:rFonts w:cs="Times New Roman"/>
          <w:sz w:val="28"/>
          <w:szCs w:val="28"/>
        </w:rPr>
        <w:t>it</w:t>
      </w:r>
      <w:r w:rsidR="00EB50B2" w:rsidRPr="000C0172">
        <w:rPr>
          <w:rFonts w:cs="Times New Roman"/>
          <w:sz w:val="28"/>
          <w:szCs w:val="28"/>
        </w:rPr>
        <w:t>’</w:t>
      </w:r>
      <w:r w:rsidR="004208C5" w:rsidRPr="000C0172">
        <w:rPr>
          <w:rFonts w:cs="Times New Roman"/>
          <w:sz w:val="28"/>
          <w:szCs w:val="28"/>
        </w:rPr>
        <w:t>s</w:t>
      </w:r>
      <w:proofErr w:type="gramEnd"/>
      <w:r w:rsidR="004208C5" w:rsidRPr="000C0172">
        <w:rPr>
          <w:rFonts w:cs="Times New Roman"/>
          <w:sz w:val="28"/>
          <w:szCs w:val="28"/>
        </w:rPr>
        <w:t xml:space="preserve"> legal economic </w:t>
      </w:r>
      <w:r w:rsidR="00ED0A1C" w:rsidRPr="000C0172">
        <w:rPr>
          <w:rFonts w:cs="Times New Roman"/>
          <w:sz w:val="28"/>
          <w:szCs w:val="28"/>
        </w:rPr>
        <w:t>obligations toward</w:t>
      </w:r>
      <w:r w:rsidR="005B0A9D" w:rsidRPr="000C0172">
        <w:rPr>
          <w:rFonts w:cs="Times New Roman"/>
          <w:sz w:val="28"/>
          <w:szCs w:val="28"/>
        </w:rPr>
        <w:t xml:space="preserve"> other stakeholders such as shareholders</w:t>
      </w:r>
      <w:r w:rsidR="005B0A9D" w:rsidRPr="000C0172">
        <w:rPr>
          <w:rFonts w:cs="Times New Roman"/>
          <w:color w:val="000000" w:themeColor="text1"/>
          <w:sz w:val="28"/>
          <w:szCs w:val="28"/>
        </w:rPr>
        <w:t>.</w:t>
      </w:r>
      <w:r w:rsidR="0032536A" w:rsidRPr="000C0172">
        <w:rPr>
          <w:rFonts w:ascii="Georgia" w:hAnsi="Georgia"/>
          <w:color w:val="000000" w:themeColor="text1"/>
          <w:sz w:val="28"/>
          <w:szCs w:val="28"/>
          <w:shd w:val="clear" w:color="auto" w:fill="FCFCFC"/>
        </w:rPr>
        <w:t xml:space="preserve"> </w:t>
      </w:r>
      <w:r w:rsidR="001078DC" w:rsidRPr="000C0172">
        <w:rPr>
          <w:rFonts w:ascii="Georgia" w:hAnsi="Georgia"/>
          <w:color w:val="000000" w:themeColor="text1"/>
          <w:sz w:val="28"/>
          <w:szCs w:val="28"/>
          <w:shd w:val="clear" w:color="auto" w:fill="FCFCFC"/>
        </w:rPr>
        <w:t xml:space="preserve"> </w:t>
      </w:r>
      <w:r w:rsidR="001078DC" w:rsidRPr="000C0172">
        <w:rPr>
          <w:rFonts w:cs="Times New Roman"/>
          <w:color w:val="000000" w:themeColor="text1"/>
          <w:sz w:val="28"/>
          <w:szCs w:val="28"/>
          <w:shd w:val="clear" w:color="auto" w:fill="FCFCFC"/>
        </w:rPr>
        <w:t xml:space="preserve">There </w:t>
      </w:r>
      <w:r w:rsidR="00D2171A" w:rsidRPr="000C0172">
        <w:rPr>
          <w:rFonts w:cs="Times New Roman"/>
          <w:color w:val="000000" w:themeColor="text1"/>
          <w:sz w:val="28"/>
          <w:szCs w:val="28"/>
          <w:shd w:val="clear" w:color="auto" w:fill="FCFCFC"/>
        </w:rPr>
        <w:t>exist</w:t>
      </w:r>
      <w:r w:rsidR="001078DC" w:rsidRPr="000C0172">
        <w:rPr>
          <w:rFonts w:cs="Times New Roman"/>
          <w:color w:val="000000" w:themeColor="text1"/>
          <w:sz w:val="28"/>
          <w:szCs w:val="28"/>
          <w:shd w:val="clear" w:color="auto" w:fill="FCFCFC"/>
        </w:rPr>
        <w:t xml:space="preserve"> mul</w:t>
      </w:r>
      <w:r w:rsidR="00BB2BFF" w:rsidRPr="000C0172">
        <w:rPr>
          <w:rFonts w:cs="Times New Roman"/>
          <w:color w:val="000000" w:themeColor="text1"/>
          <w:sz w:val="28"/>
          <w:szCs w:val="28"/>
          <w:shd w:val="clear" w:color="auto" w:fill="FCFCFC"/>
        </w:rPr>
        <w:t>ti</w:t>
      </w:r>
      <w:r w:rsidR="001078DC" w:rsidRPr="000C0172">
        <w:rPr>
          <w:rFonts w:cs="Times New Roman"/>
          <w:color w:val="000000" w:themeColor="text1"/>
          <w:sz w:val="28"/>
          <w:szCs w:val="28"/>
          <w:shd w:val="clear" w:color="auto" w:fill="FCFCFC"/>
        </w:rPr>
        <w:t xml:space="preserve">ple studies that deal with the </w:t>
      </w:r>
      <w:r w:rsidR="00296267" w:rsidRPr="000C0172">
        <w:rPr>
          <w:rFonts w:cs="Times New Roman"/>
          <w:color w:val="000000" w:themeColor="text1"/>
          <w:sz w:val="28"/>
          <w:szCs w:val="28"/>
          <w:shd w:val="clear" w:color="auto" w:fill="FCFCFC"/>
        </w:rPr>
        <w:t xml:space="preserve">lay-off pattern </w:t>
      </w:r>
      <w:r w:rsidR="004156E2" w:rsidRPr="000C0172">
        <w:rPr>
          <w:rFonts w:cs="Times New Roman"/>
          <w:color w:val="000000" w:themeColor="text1"/>
          <w:sz w:val="28"/>
          <w:szCs w:val="28"/>
          <w:shd w:val="clear" w:color="auto" w:fill="FCFCFC"/>
        </w:rPr>
        <w:t>of both large firms and Small and middle</w:t>
      </w:r>
      <w:r w:rsidR="00BB2BFF" w:rsidRPr="000C0172">
        <w:rPr>
          <w:rFonts w:cs="Times New Roman"/>
          <w:color w:val="000000" w:themeColor="text1"/>
          <w:sz w:val="28"/>
          <w:szCs w:val="28"/>
          <w:shd w:val="clear" w:color="auto" w:fill="FCFCFC"/>
        </w:rPr>
        <w:t>-</w:t>
      </w:r>
      <w:r w:rsidR="004156E2" w:rsidRPr="000C0172">
        <w:rPr>
          <w:rFonts w:cs="Times New Roman"/>
          <w:color w:val="000000" w:themeColor="text1"/>
          <w:sz w:val="28"/>
          <w:szCs w:val="28"/>
          <w:shd w:val="clear" w:color="auto" w:fill="FCFCFC"/>
        </w:rPr>
        <w:t>sized firms.</w:t>
      </w:r>
      <w:r w:rsidR="00D01669" w:rsidRPr="000C0172">
        <w:rPr>
          <w:rFonts w:cs="Times New Roman"/>
          <w:color w:val="000000" w:themeColor="text1"/>
          <w:sz w:val="28"/>
          <w:szCs w:val="28"/>
          <w:shd w:val="clear" w:color="auto" w:fill="FCFCFC"/>
        </w:rPr>
        <w:t xml:space="preserve"> But</w:t>
      </w:r>
      <w:r w:rsidR="00BB2BFF" w:rsidRPr="000C0172">
        <w:rPr>
          <w:rFonts w:cs="Times New Roman"/>
          <w:color w:val="000000" w:themeColor="text1"/>
          <w:sz w:val="28"/>
          <w:szCs w:val="28"/>
          <w:shd w:val="clear" w:color="auto" w:fill="FCFCFC"/>
        </w:rPr>
        <w:t xml:space="preserve">, </w:t>
      </w:r>
      <w:r w:rsidR="00D01669" w:rsidRPr="000C0172">
        <w:rPr>
          <w:rFonts w:cs="Times New Roman"/>
          <w:color w:val="000000" w:themeColor="text1"/>
          <w:sz w:val="28"/>
          <w:szCs w:val="28"/>
          <w:shd w:val="clear" w:color="auto" w:fill="FCFCFC"/>
        </w:rPr>
        <w:t xml:space="preserve">the major limitations to draw insight from these studies ais that, those studies are based on the </w:t>
      </w:r>
      <w:r w:rsidR="00EF0E0A" w:rsidRPr="000C0172">
        <w:rPr>
          <w:rFonts w:cs="Times New Roman"/>
          <w:color w:val="000000" w:themeColor="text1"/>
          <w:sz w:val="28"/>
          <w:szCs w:val="28"/>
          <w:shd w:val="clear" w:color="auto" w:fill="FCFCFC"/>
        </w:rPr>
        <w:t>Western firms primarily concentrating</w:t>
      </w:r>
      <w:r w:rsidR="006D5B31" w:rsidRPr="000C0172">
        <w:rPr>
          <w:rFonts w:cs="Times New Roman"/>
          <w:color w:val="000000" w:themeColor="text1"/>
          <w:sz w:val="28"/>
          <w:szCs w:val="28"/>
          <w:shd w:val="clear" w:color="auto" w:fill="FCFCFC"/>
        </w:rPr>
        <w:t xml:space="preserve"> on </w:t>
      </w:r>
      <w:r w:rsidR="00EF0E0A" w:rsidRPr="000C0172">
        <w:rPr>
          <w:rFonts w:cs="Times New Roman"/>
          <w:color w:val="000000" w:themeColor="text1"/>
          <w:sz w:val="28"/>
          <w:szCs w:val="28"/>
          <w:shd w:val="clear" w:color="auto" w:fill="FCFCFC"/>
        </w:rPr>
        <w:t>Europe</w:t>
      </w:r>
      <w:r w:rsidR="00EF0E0A" w:rsidRPr="000C0172">
        <w:rPr>
          <w:rFonts w:cs="Times New Roman"/>
          <w:color w:val="333333"/>
          <w:sz w:val="28"/>
          <w:szCs w:val="28"/>
          <w:shd w:val="clear" w:color="auto" w:fill="FCFCFC"/>
        </w:rPr>
        <w:t>.</w:t>
      </w:r>
      <w:r w:rsidR="008A1B78" w:rsidRPr="000C0172">
        <w:rPr>
          <w:rFonts w:cs="Times New Roman"/>
          <w:color w:val="333333"/>
          <w:sz w:val="28"/>
          <w:szCs w:val="28"/>
          <w:shd w:val="clear" w:color="auto" w:fill="FCFCFC"/>
        </w:rPr>
        <w:t xml:space="preserve"> </w:t>
      </w:r>
      <w:r w:rsidR="008A1B78" w:rsidRPr="000C0172">
        <w:rPr>
          <w:rFonts w:cs="Times New Roman"/>
          <w:sz w:val="28"/>
          <w:szCs w:val="28"/>
          <w:shd w:val="clear" w:color="auto" w:fill="FCFCFC"/>
        </w:rPr>
        <w:t xml:space="preserve">As a result, we can plot a major difference on their findings </w:t>
      </w:r>
      <w:r w:rsidR="00BA34B3" w:rsidRPr="000C0172">
        <w:rPr>
          <w:rFonts w:cs="Times New Roman"/>
          <w:sz w:val="28"/>
          <w:szCs w:val="28"/>
          <w:shd w:val="clear" w:color="auto" w:fill="FCFCFC"/>
        </w:rPr>
        <w:t>with the data of the Indian firms.</w:t>
      </w:r>
      <w:r w:rsidR="00664ADD" w:rsidRPr="000C0172">
        <w:rPr>
          <w:rFonts w:cs="Times New Roman"/>
          <w:sz w:val="28"/>
          <w:szCs w:val="28"/>
          <w:shd w:val="clear" w:color="auto" w:fill="FCFCFC"/>
        </w:rPr>
        <w:t xml:space="preserve"> Th</w:t>
      </w:r>
      <w:r w:rsidR="00487FF6" w:rsidRPr="000C0172">
        <w:rPr>
          <w:rFonts w:cs="Times New Roman"/>
          <w:sz w:val="28"/>
          <w:szCs w:val="28"/>
          <w:shd w:val="clear" w:color="auto" w:fill="FCFCFC"/>
        </w:rPr>
        <w:t>e</w:t>
      </w:r>
      <w:r w:rsidR="00664ADD" w:rsidRPr="000C0172">
        <w:rPr>
          <w:rFonts w:cs="Times New Roman"/>
          <w:sz w:val="28"/>
          <w:szCs w:val="28"/>
          <w:shd w:val="clear" w:color="auto" w:fill="FCFCFC"/>
        </w:rPr>
        <w:t xml:space="preserve">ir findings </w:t>
      </w:r>
      <w:r w:rsidR="002B6F90" w:rsidRPr="000C0172">
        <w:rPr>
          <w:rFonts w:cs="Times New Roman"/>
          <w:sz w:val="28"/>
          <w:szCs w:val="28"/>
          <w:shd w:val="clear" w:color="auto" w:fill="FCFCFC"/>
        </w:rPr>
        <w:t>indicate</w:t>
      </w:r>
      <w:r w:rsidR="00664ADD" w:rsidRPr="000C0172">
        <w:rPr>
          <w:rFonts w:cs="Times New Roman"/>
          <w:sz w:val="28"/>
          <w:szCs w:val="28"/>
          <w:shd w:val="clear" w:color="auto" w:fill="FCFCFC"/>
        </w:rPr>
        <w:t xml:space="preserve"> that </w:t>
      </w:r>
      <w:r w:rsidR="004004DE" w:rsidRPr="000C0172">
        <w:rPr>
          <w:rFonts w:cs="Times New Roman"/>
          <w:sz w:val="28"/>
          <w:szCs w:val="28"/>
          <w:shd w:val="clear" w:color="auto" w:fill="FCFCFC"/>
        </w:rPr>
        <w:t xml:space="preserve">due to the social proximity that </w:t>
      </w:r>
      <w:r w:rsidR="0069491A" w:rsidRPr="000C0172">
        <w:rPr>
          <w:rFonts w:cs="Times New Roman"/>
          <w:sz w:val="28"/>
          <w:szCs w:val="28"/>
          <w:shd w:val="clear" w:color="auto" w:fill="FCFCFC"/>
        </w:rPr>
        <w:t xml:space="preserve">the employers have to their </w:t>
      </w:r>
      <w:r w:rsidR="00F1288A" w:rsidRPr="000C0172">
        <w:rPr>
          <w:rFonts w:cs="Times New Roman"/>
          <w:sz w:val="28"/>
          <w:szCs w:val="28"/>
          <w:shd w:val="clear" w:color="auto" w:fill="FCFCFC"/>
        </w:rPr>
        <w:t>employees</w:t>
      </w:r>
      <w:r w:rsidR="0069491A" w:rsidRPr="000C0172">
        <w:rPr>
          <w:rFonts w:cs="Times New Roman"/>
          <w:sz w:val="28"/>
          <w:szCs w:val="28"/>
          <w:shd w:val="clear" w:color="auto" w:fill="FCFCFC"/>
        </w:rPr>
        <w:t xml:space="preserve"> I small firms, the</w:t>
      </w:r>
      <w:r w:rsidR="00F36740" w:rsidRPr="000C0172">
        <w:rPr>
          <w:rFonts w:cs="Times New Roman"/>
          <w:sz w:val="28"/>
          <w:szCs w:val="28"/>
          <w:shd w:val="clear" w:color="auto" w:fill="FCFCFC"/>
        </w:rPr>
        <w:t xml:space="preserve">y will prefer their moral obligation that economic </w:t>
      </w:r>
      <w:r w:rsidR="00F36740" w:rsidRPr="000C0172">
        <w:rPr>
          <w:rFonts w:cs="Times New Roman"/>
          <w:sz w:val="28"/>
          <w:szCs w:val="28"/>
          <w:shd w:val="clear" w:color="auto" w:fill="FCFCFC"/>
        </w:rPr>
        <w:lastRenderedPageBreak/>
        <w:t xml:space="preserve">and legal </w:t>
      </w:r>
      <w:r w:rsidR="00F1288A" w:rsidRPr="000C0172">
        <w:rPr>
          <w:rFonts w:cs="Times New Roman"/>
          <w:sz w:val="28"/>
          <w:szCs w:val="28"/>
          <w:shd w:val="clear" w:color="auto" w:fill="FCFCFC"/>
        </w:rPr>
        <w:t xml:space="preserve">obligations hence there is less likelihood for lay-offs compared to their </w:t>
      </w:r>
      <w:proofErr w:type="gramStart"/>
      <w:r w:rsidR="00F1288A" w:rsidRPr="000C0172">
        <w:rPr>
          <w:rFonts w:cs="Times New Roman"/>
          <w:sz w:val="28"/>
          <w:szCs w:val="28"/>
          <w:shd w:val="clear" w:color="auto" w:fill="FCFCFC"/>
        </w:rPr>
        <w:t>Larger</w:t>
      </w:r>
      <w:proofErr w:type="gramEnd"/>
      <w:r w:rsidRPr="000C0172">
        <w:rPr>
          <w:rFonts w:cs="Times New Roman"/>
          <w:sz w:val="28"/>
          <w:szCs w:val="28"/>
          <w:shd w:val="clear" w:color="auto" w:fill="FCFCFC"/>
        </w:rPr>
        <w:t xml:space="preserve"> </w:t>
      </w:r>
      <w:r w:rsidR="00F1288A" w:rsidRPr="000C0172">
        <w:rPr>
          <w:rFonts w:cs="Times New Roman"/>
          <w:sz w:val="28"/>
          <w:szCs w:val="28"/>
          <w:shd w:val="clear" w:color="auto" w:fill="FCFCFC"/>
        </w:rPr>
        <w:t>counte</w:t>
      </w:r>
      <w:r w:rsidR="00CD5975" w:rsidRPr="000C0172">
        <w:rPr>
          <w:rFonts w:cs="Times New Roman"/>
          <w:sz w:val="28"/>
          <w:szCs w:val="28"/>
          <w:shd w:val="clear" w:color="auto" w:fill="FCFCFC"/>
        </w:rPr>
        <w:t xml:space="preserve">rparts. (Lefebvre, 2023) </w:t>
      </w:r>
    </w:p>
    <w:p w14:paraId="7C7C69C0" w14:textId="1AD0E538" w:rsidR="00885168" w:rsidRPr="00906803" w:rsidRDefault="003F7D57" w:rsidP="005942EC">
      <w:pPr>
        <w:rPr>
          <w:rFonts w:cs="Times New Roman"/>
          <w:szCs w:val="24"/>
          <w:shd w:val="clear" w:color="auto" w:fill="FCFCFC"/>
        </w:rPr>
      </w:pPr>
      <w:r w:rsidRPr="000C0172">
        <w:rPr>
          <w:rFonts w:cs="Times New Roman"/>
          <w:sz w:val="28"/>
          <w:szCs w:val="28"/>
          <w:shd w:val="clear" w:color="auto" w:fill="FCFCFC"/>
        </w:rPr>
        <w:t xml:space="preserve">but here it shows that, </w:t>
      </w:r>
      <w:r w:rsidR="0043619D" w:rsidRPr="000C0172">
        <w:rPr>
          <w:rFonts w:cs="Times New Roman"/>
          <w:sz w:val="28"/>
          <w:szCs w:val="28"/>
          <w:shd w:val="clear" w:color="auto" w:fill="FCFCFC"/>
        </w:rPr>
        <w:t>these</w:t>
      </w:r>
      <w:r w:rsidR="004C59B9" w:rsidRPr="000C0172">
        <w:rPr>
          <w:rFonts w:cs="Times New Roman"/>
          <w:sz w:val="28"/>
          <w:szCs w:val="28"/>
          <w:shd w:val="clear" w:color="auto" w:fill="FCFCFC"/>
        </w:rPr>
        <w:t xml:space="preserve"> small firms value economic obligation than social obligation. </w:t>
      </w:r>
      <w:r w:rsidR="00EF31C2" w:rsidRPr="000C0172">
        <w:rPr>
          <w:rFonts w:cs="Times New Roman"/>
          <w:sz w:val="28"/>
          <w:szCs w:val="28"/>
          <w:shd w:val="clear" w:color="auto" w:fill="FCFCFC"/>
        </w:rPr>
        <w:t>Also</w:t>
      </w:r>
      <w:r w:rsidR="00882D31" w:rsidRPr="000C0172">
        <w:rPr>
          <w:rFonts w:cs="Times New Roman"/>
          <w:sz w:val="28"/>
          <w:szCs w:val="28"/>
          <w:shd w:val="clear" w:color="auto" w:fill="FCFCFC"/>
        </w:rPr>
        <w:t>,</w:t>
      </w:r>
      <w:r w:rsidR="00EF31C2" w:rsidRPr="000C0172">
        <w:rPr>
          <w:rFonts w:cs="Times New Roman"/>
          <w:sz w:val="28"/>
          <w:szCs w:val="28"/>
          <w:shd w:val="clear" w:color="auto" w:fill="FCFCFC"/>
        </w:rPr>
        <w:t xml:space="preserve"> since the total number of employees between these tw</w:t>
      </w:r>
      <w:r w:rsidR="0043619D" w:rsidRPr="000C0172">
        <w:rPr>
          <w:rFonts w:cs="Times New Roman"/>
          <w:sz w:val="28"/>
          <w:szCs w:val="28"/>
          <w:shd w:val="clear" w:color="auto" w:fill="FCFCFC"/>
        </w:rPr>
        <w:t xml:space="preserve">o </w:t>
      </w:r>
      <w:r w:rsidR="00EF31C2" w:rsidRPr="000C0172">
        <w:rPr>
          <w:rFonts w:cs="Times New Roman"/>
          <w:sz w:val="28"/>
          <w:szCs w:val="28"/>
          <w:shd w:val="clear" w:color="auto" w:fill="FCFCFC"/>
        </w:rPr>
        <w:t>set</w:t>
      </w:r>
      <w:r w:rsidR="0043619D" w:rsidRPr="000C0172">
        <w:rPr>
          <w:rFonts w:cs="Times New Roman"/>
          <w:sz w:val="28"/>
          <w:szCs w:val="28"/>
          <w:shd w:val="clear" w:color="auto" w:fill="FCFCFC"/>
        </w:rPr>
        <w:t>s</w:t>
      </w:r>
      <w:r w:rsidR="00EF31C2" w:rsidRPr="000C0172">
        <w:rPr>
          <w:rFonts w:cs="Times New Roman"/>
          <w:sz w:val="28"/>
          <w:szCs w:val="28"/>
          <w:shd w:val="clear" w:color="auto" w:fill="FCFCFC"/>
        </w:rPr>
        <w:t xml:space="preserve"> of firms differs very much</w:t>
      </w:r>
      <w:r w:rsidR="00B56AC6" w:rsidRPr="000C0172">
        <w:rPr>
          <w:rFonts w:cs="Times New Roman"/>
          <w:sz w:val="28"/>
          <w:szCs w:val="28"/>
          <w:shd w:val="clear" w:color="auto" w:fill="FCFCFC"/>
        </w:rPr>
        <w:t xml:space="preserve">. </w:t>
      </w:r>
      <w:r w:rsidR="00BC1E39" w:rsidRPr="000C0172">
        <w:rPr>
          <w:rFonts w:cs="Times New Roman"/>
          <w:sz w:val="28"/>
          <w:szCs w:val="28"/>
          <w:shd w:val="clear" w:color="auto" w:fill="FCFCFC"/>
        </w:rPr>
        <w:t>That is, for a company having 1000 employees will work almost with the same effect</w:t>
      </w:r>
      <w:r w:rsidR="00487FF6" w:rsidRPr="000C0172">
        <w:rPr>
          <w:rFonts w:cs="Times New Roman"/>
          <w:sz w:val="28"/>
          <w:szCs w:val="28"/>
          <w:shd w:val="clear" w:color="auto" w:fill="FCFCFC"/>
        </w:rPr>
        <w:t xml:space="preserve">iveness </w:t>
      </w:r>
      <w:r w:rsidR="00F81F88" w:rsidRPr="000C0172">
        <w:rPr>
          <w:rFonts w:cs="Times New Roman"/>
          <w:sz w:val="28"/>
          <w:szCs w:val="28"/>
          <w:shd w:val="clear" w:color="auto" w:fill="FCFCFC"/>
        </w:rPr>
        <w:t>with 950 employees. This is not true for a company with 100 employees laying off 50 of them</w:t>
      </w:r>
      <w:r w:rsidR="00F81F88" w:rsidRPr="00906803">
        <w:rPr>
          <w:rFonts w:cs="Times New Roman"/>
          <w:szCs w:val="24"/>
          <w:shd w:val="clear" w:color="auto" w:fill="FCFCFC"/>
        </w:rPr>
        <w:t xml:space="preserve">. </w:t>
      </w:r>
    </w:p>
    <w:p w14:paraId="4BF1F6CA" w14:textId="77777777" w:rsidR="00885168" w:rsidRPr="00882D31" w:rsidRDefault="0019467C" w:rsidP="00421E8B">
      <w:pPr>
        <w:pStyle w:val="Heading1"/>
        <w:rPr>
          <w:shd w:val="clear" w:color="auto" w:fill="FCFCFC"/>
        </w:rPr>
      </w:pPr>
      <w:r w:rsidRPr="00882D31">
        <w:rPr>
          <w:shd w:val="clear" w:color="auto" w:fill="FCFCFC"/>
        </w:rPr>
        <w:t>IMPACTS ON THE SERVICE EXPORT</w:t>
      </w:r>
    </w:p>
    <w:p w14:paraId="1C958FF5" w14:textId="77777777" w:rsidR="003005B5" w:rsidRPr="000C0172" w:rsidRDefault="00B47203" w:rsidP="005942EC">
      <w:pPr>
        <w:rPr>
          <w:rFonts w:cs="Times New Roman"/>
          <w:sz w:val="28"/>
          <w:szCs w:val="28"/>
          <w:shd w:val="clear" w:color="auto" w:fill="FCFCFC"/>
        </w:rPr>
      </w:pPr>
      <w:r w:rsidRPr="000C0172">
        <w:rPr>
          <w:rFonts w:cs="Times New Roman"/>
          <w:sz w:val="28"/>
          <w:szCs w:val="28"/>
          <w:shd w:val="clear" w:color="auto" w:fill="FCFCFC"/>
        </w:rPr>
        <w:t>India’s</w:t>
      </w:r>
      <w:r w:rsidR="00936AFD" w:rsidRPr="000C0172">
        <w:rPr>
          <w:rFonts w:cs="Times New Roman"/>
          <w:sz w:val="28"/>
          <w:szCs w:val="28"/>
          <w:shd w:val="clear" w:color="auto" w:fill="FCFCFC"/>
        </w:rPr>
        <w:t xml:space="preserve"> software exports </w:t>
      </w:r>
      <w:r w:rsidR="00882D31" w:rsidRPr="000C0172">
        <w:rPr>
          <w:rFonts w:cs="Times New Roman"/>
          <w:sz w:val="28"/>
          <w:szCs w:val="28"/>
          <w:shd w:val="clear" w:color="auto" w:fill="FCFCFC"/>
        </w:rPr>
        <w:t>are</w:t>
      </w:r>
      <w:r w:rsidR="00936AFD" w:rsidRPr="000C0172">
        <w:rPr>
          <w:rFonts w:cs="Times New Roman"/>
          <w:sz w:val="28"/>
          <w:szCs w:val="28"/>
          <w:shd w:val="clear" w:color="auto" w:fill="FCFCFC"/>
        </w:rPr>
        <w:t xml:space="preserve"> dominated by service</w:t>
      </w:r>
      <w:r w:rsidR="00C94871" w:rsidRPr="000C0172">
        <w:rPr>
          <w:rFonts w:cs="Times New Roman"/>
          <w:sz w:val="28"/>
          <w:szCs w:val="28"/>
          <w:shd w:val="clear" w:color="auto" w:fill="FCFCFC"/>
        </w:rPr>
        <w:t xml:space="preserve">. </w:t>
      </w:r>
      <w:r w:rsidR="004E7556" w:rsidRPr="000C0172">
        <w:rPr>
          <w:rFonts w:cs="Times New Roman"/>
          <w:sz w:val="28"/>
          <w:szCs w:val="28"/>
          <w:shd w:val="clear" w:color="auto" w:fill="FCFCFC"/>
        </w:rPr>
        <w:t xml:space="preserve">India always </w:t>
      </w:r>
      <w:r w:rsidRPr="000C0172">
        <w:rPr>
          <w:rFonts w:cs="Times New Roman"/>
          <w:sz w:val="28"/>
          <w:szCs w:val="28"/>
          <w:shd w:val="clear" w:color="auto" w:fill="FCFCFC"/>
        </w:rPr>
        <w:t>had</w:t>
      </w:r>
      <w:r w:rsidR="004E7556" w:rsidRPr="000C0172">
        <w:rPr>
          <w:rFonts w:cs="Times New Roman"/>
          <w:sz w:val="28"/>
          <w:szCs w:val="28"/>
          <w:shd w:val="clear" w:color="auto" w:fill="FCFCFC"/>
        </w:rPr>
        <w:t xml:space="preserve"> a dominant position in the global software supply market. there are multiple studies which analyse </w:t>
      </w:r>
      <w:r w:rsidR="00ED407C" w:rsidRPr="000C0172">
        <w:rPr>
          <w:rFonts w:cs="Times New Roman"/>
          <w:sz w:val="28"/>
          <w:szCs w:val="28"/>
          <w:shd w:val="clear" w:color="auto" w:fill="FCFCFC"/>
        </w:rPr>
        <w:t xml:space="preserve">this how </w:t>
      </w:r>
      <w:r w:rsidRPr="000C0172">
        <w:rPr>
          <w:rFonts w:cs="Times New Roman"/>
          <w:sz w:val="28"/>
          <w:szCs w:val="28"/>
          <w:shd w:val="clear" w:color="auto" w:fill="FCFCFC"/>
        </w:rPr>
        <w:t>India</w:t>
      </w:r>
      <w:r w:rsidR="00ED407C" w:rsidRPr="000C0172">
        <w:rPr>
          <w:rFonts w:cs="Times New Roman"/>
          <w:sz w:val="28"/>
          <w:szCs w:val="28"/>
          <w:shd w:val="clear" w:color="auto" w:fill="FCFCFC"/>
        </w:rPr>
        <w:t xml:space="preserve"> could attain this role. 1)</w:t>
      </w:r>
      <w:r w:rsidR="004A6F91" w:rsidRPr="000C0172">
        <w:rPr>
          <w:rFonts w:cs="Times New Roman"/>
          <w:sz w:val="28"/>
          <w:szCs w:val="28"/>
          <w:shd w:val="clear" w:color="auto" w:fill="FCFCFC"/>
        </w:rPr>
        <w:t xml:space="preserve"> </w:t>
      </w:r>
      <w:r w:rsidR="00894B31" w:rsidRPr="000C0172">
        <w:rPr>
          <w:rFonts w:cs="Times New Roman"/>
          <w:sz w:val="28"/>
          <w:szCs w:val="28"/>
          <w:shd w:val="clear" w:color="auto" w:fill="FCFCFC"/>
        </w:rPr>
        <w:t>H</w:t>
      </w:r>
      <w:r w:rsidR="004A6F91" w:rsidRPr="000C0172">
        <w:rPr>
          <w:rFonts w:cs="Times New Roman"/>
          <w:sz w:val="28"/>
          <w:szCs w:val="28"/>
          <w:shd w:val="clear" w:color="auto" w:fill="FCFCFC"/>
        </w:rPr>
        <w:t xml:space="preserve">igh external demand 2) </w:t>
      </w:r>
      <w:r w:rsidR="00894B31" w:rsidRPr="000C0172">
        <w:rPr>
          <w:rFonts w:cs="Times New Roman"/>
          <w:sz w:val="28"/>
          <w:szCs w:val="28"/>
          <w:shd w:val="clear" w:color="auto" w:fill="FCFCFC"/>
        </w:rPr>
        <w:t>N</w:t>
      </w:r>
      <w:r w:rsidR="004A6F91" w:rsidRPr="000C0172">
        <w:rPr>
          <w:rFonts w:cs="Times New Roman"/>
          <w:sz w:val="28"/>
          <w:szCs w:val="28"/>
          <w:shd w:val="clear" w:color="auto" w:fill="FCFCFC"/>
        </w:rPr>
        <w:t xml:space="preserve">ational vision and </w:t>
      </w:r>
      <w:r w:rsidR="00894B31" w:rsidRPr="000C0172">
        <w:rPr>
          <w:rFonts w:cs="Times New Roman"/>
          <w:sz w:val="28"/>
          <w:szCs w:val="28"/>
          <w:shd w:val="clear" w:color="auto" w:fill="FCFCFC"/>
        </w:rPr>
        <w:t>S</w:t>
      </w:r>
      <w:r w:rsidR="004A6F91" w:rsidRPr="000C0172">
        <w:rPr>
          <w:rFonts w:cs="Times New Roman"/>
          <w:sz w:val="28"/>
          <w:szCs w:val="28"/>
          <w:shd w:val="clear" w:color="auto" w:fill="FCFCFC"/>
        </w:rPr>
        <w:t>trategies</w:t>
      </w:r>
      <w:r w:rsidR="002C7E96" w:rsidRPr="000C0172">
        <w:rPr>
          <w:rFonts w:cs="Times New Roman"/>
          <w:sz w:val="28"/>
          <w:szCs w:val="28"/>
          <w:shd w:val="clear" w:color="auto" w:fill="FCFCFC"/>
        </w:rPr>
        <w:t xml:space="preserve"> 3) </w:t>
      </w:r>
      <w:r w:rsidR="00894B31" w:rsidRPr="000C0172">
        <w:rPr>
          <w:rFonts w:cs="Times New Roman"/>
          <w:sz w:val="28"/>
          <w:szCs w:val="28"/>
          <w:shd w:val="clear" w:color="auto" w:fill="FCFCFC"/>
        </w:rPr>
        <w:t>I</w:t>
      </w:r>
      <w:r w:rsidR="002C7E96" w:rsidRPr="000C0172">
        <w:rPr>
          <w:rFonts w:cs="Times New Roman"/>
          <w:sz w:val="28"/>
          <w:szCs w:val="28"/>
          <w:shd w:val="clear" w:color="auto" w:fill="FCFCFC"/>
        </w:rPr>
        <w:t xml:space="preserve">nternational linkages like via diaspora </w:t>
      </w:r>
      <w:r w:rsidR="00DC1C58" w:rsidRPr="000C0172">
        <w:rPr>
          <w:rFonts w:cs="Times New Roman"/>
          <w:sz w:val="28"/>
          <w:szCs w:val="28"/>
          <w:shd w:val="clear" w:color="auto" w:fill="FCFCFC"/>
        </w:rPr>
        <w:t xml:space="preserve">4) </w:t>
      </w:r>
      <w:r w:rsidR="00894B31" w:rsidRPr="000C0172">
        <w:rPr>
          <w:rFonts w:cs="Times New Roman"/>
          <w:sz w:val="28"/>
          <w:szCs w:val="28"/>
          <w:shd w:val="clear" w:color="auto" w:fill="FCFCFC"/>
        </w:rPr>
        <w:t>C</w:t>
      </w:r>
      <w:r w:rsidR="00DC1C58" w:rsidRPr="000C0172">
        <w:rPr>
          <w:rFonts w:cs="Times New Roman"/>
          <w:sz w:val="28"/>
          <w:szCs w:val="28"/>
          <w:shd w:val="clear" w:color="auto" w:fill="FCFCFC"/>
        </w:rPr>
        <w:t xml:space="preserve">lustering and collaboration from the firms </w:t>
      </w:r>
      <w:r w:rsidR="008A2822" w:rsidRPr="000C0172">
        <w:rPr>
          <w:rFonts w:cs="Times New Roman"/>
          <w:sz w:val="28"/>
          <w:szCs w:val="28"/>
          <w:shd w:val="clear" w:color="auto" w:fill="FCFCFC"/>
        </w:rPr>
        <w:t xml:space="preserve">5) </w:t>
      </w:r>
      <w:r w:rsidR="00894B31" w:rsidRPr="000C0172">
        <w:rPr>
          <w:rFonts w:cs="Times New Roman"/>
          <w:sz w:val="28"/>
          <w:szCs w:val="28"/>
          <w:shd w:val="clear" w:color="auto" w:fill="FCFCFC"/>
        </w:rPr>
        <w:t>T</w:t>
      </w:r>
      <w:r w:rsidR="008A2822" w:rsidRPr="000C0172">
        <w:rPr>
          <w:rFonts w:cs="Times New Roman"/>
          <w:sz w:val="28"/>
          <w:szCs w:val="28"/>
          <w:shd w:val="clear" w:color="auto" w:fill="FCFCFC"/>
        </w:rPr>
        <w:t>echnically efficient, low</w:t>
      </w:r>
      <w:r w:rsidRPr="000C0172">
        <w:rPr>
          <w:rFonts w:cs="Times New Roman"/>
          <w:sz w:val="28"/>
          <w:szCs w:val="28"/>
          <w:shd w:val="clear" w:color="auto" w:fill="FCFCFC"/>
        </w:rPr>
        <w:t>-</w:t>
      </w:r>
      <w:r w:rsidR="008A2822" w:rsidRPr="000C0172">
        <w:rPr>
          <w:rFonts w:cs="Times New Roman"/>
          <w:sz w:val="28"/>
          <w:szCs w:val="28"/>
          <w:shd w:val="clear" w:color="auto" w:fill="FCFCFC"/>
        </w:rPr>
        <w:t xml:space="preserve">cost, English speaking </w:t>
      </w:r>
      <w:r w:rsidRPr="000C0172">
        <w:rPr>
          <w:rFonts w:cs="Times New Roman"/>
          <w:sz w:val="28"/>
          <w:szCs w:val="28"/>
          <w:shd w:val="clear" w:color="auto" w:fill="FCFCFC"/>
        </w:rPr>
        <w:t>labour</w:t>
      </w:r>
      <w:r w:rsidR="008A2822" w:rsidRPr="000C0172">
        <w:rPr>
          <w:rFonts w:cs="Times New Roman"/>
          <w:sz w:val="28"/>
          <w:szCs w:val="28"/>
          <w:shd w:val="clear" w:color="auto" w:fill="FCFCFC"/>
        </w:rPr>
        <w:t xml:space="preserve"> force with </w:t>
      </w:r>
      <w:r w:rsidRPr="000C0172">
        <w:rPr>
          <w:rFonts w:cs="Times New Roman"/>
          <w:sz w:val="28"/>
          <w:szCs w:val="28"/>
          <w:shd w:val="clear" w:color="auto" w:fill="FCFCFC"/>
        </w:rPr>
        <w:t>accessibility</w:t>
      </w:r>
      <w:r w:rsidR="008A2822" w:rsidRPr="000C0172">
        <w:rPr>
          <w:rFonts w:cs="Times New Roman"/>
          <w:sz w:val="28"/>
          <w:szCs w:val="28"/>
          <w:shd w:val="clear" w:color="auto" w:fill="FCFCFC"/>
        </w:rPr>
        <w:t xml:space="preserve"> to </w:t>
      </w:r>
      <w:r w:rsidRPr="000C0172">
        <w:rPr>
          <w:rFonts w:cs="Times New Roman"/>
          <w:sz w:val="28"/>
          <w:szCs w:val="28"/>
          <w:shd w:val="clear" w:color="auto" w:fill="FCFCFC"/>
        </w:rPr>
        <w:t>capital and infrastructure etc are some among them.</w:t>
      </w:r>
      <w:r w:rsidR="00A1375A" w:rsidRPr="000C0172">
        <w:rPr>
          <w:rFonts w:cs="Times New Roman"/>
          <w:sz w:val="28"/>
          <w:szCs w:val="28"/>
          <w:shd w:val="clear" w:color="auto" w:fill="FCFCFC"/>
        </w:rPr>
        <w:t xml:space="preserve"> Even during pandemic </w:t>
      </w:r>
      <w:r w:rsidR="00841FFA" w:rsidRPr="000C0172">
        <w:rPr>
          <w:rFonts w:cs="Times New Roman"/>
          <w:sz w:val="28"/>
          <w:szCs w:val="28"/>
          <w:shd w:val="clear" w:color="auto" w:fill="FCFCFC"/>
        </w:rPr>
        <w:t>India’s</w:t>
      </w:r>
      <w:r w:rsidR="00A1375A" w:rsidRPr="000C0172">
        <w:rPr>
          <w:rFonts w:cs="Times New Roman"/>
          <w:sz w:val="28"/>
          <w:szCs w:val="28"/>
          <w:shd w:val="clear" w:color="auto" w:fill="FCFCFC"/>
        </w:rPr>
        <w:t xml:space="preserve"> total software exports </w:t>
      </w:r>
      <w:r w:rsidR="00881D3C" w:rsidRPr="000C0172">
        <w:rPr>
          <w:rFonts w:cs="Times New Roman"/>
          <w:sz w:val="28"/>
          <w:szCs w:val="28"/>
          <w:shd w:val="clear" w:color="auto" w:fill="FCFCFC"/>
        </w:rPr>
        <w:t xml:space="preserve">has increased to 148.3 bn USD </w:t>
      </w:r>
      <w:r w:rsidR="006947EB" w:rsidRPr="000C0172">
        <w:rPr>
          <w:rFonts w:cs="Times New Roman"/>
          <w:sz w:val="28"/>
          <w:szCs w:val="28"/>
          <w:shd w:val="clear" w:color="auto" w:fill="FCFCFC"/>
        </w:rPr>
        <w:t>registering a growth of 2.1 % in 2020.</w:t>
      </w:r>
    </w:p>
    <w:p w14:paraId="05B91422" w14:textId="01EB0F97" w:rsidR="00D2171A" w:rsidRPr="00D2171A" w:rsidRDefault="005D0B2B" w:rsidP="00D2171A">
      <w:pPr>
        <w:pStyle w:val="Caption"/>
        <w:keepNext/>
      </w:pPr>
      <w:r>
        <w:rPr>
          <w:noProof/>
        </w:rPr>
        <mc:AlternateContent>
          <mc:Choice Requires="wps">
            <w:drawing>
              <wp:anchor distT="0" distB="0" distL="114300" distR="114300" simplePos="0" relativeHeight="251692032" behindDoc="0" locked="0" layoutInCell="1" allowOverlap="1" wp14:anchorId="72E1C86C" wp14:editId="6B5A2FBD">
                <wp:simplePos x="0" y="0"/>
                <wp:positionH relativeFrom="column">
                  <wp:posOffset>632460</wp:posOffset>
                </wp:positionH>
                <wp:positionV relativeFrom="paragraph">
                  <wp:posOffset>4949825</wp:posOffset>
                </wp:positionV>
                <wp:extent cx="5212080" cy="635"/>
                <wp:effectExtent l="0" t="0" r="0" b="0"/>
                <wp:wrapTopAndBottom/>
                <wp:docPr id="1008264600" name="Text Box 1"/>
                <wp:cNvGraphicFramePr/>
                <a:graphic xmlns:a="http://schemas.openxmlformats.org/drawingml/2006/main">
                  <a:graphicData uri="http://schemas.microsoft.com/office/word/2010/wordprocessingShape">
                    <wps:wsp>
                      <wps:cNvSpPr txBox="1"/>
                      <wps:spPr>
                        <a:xfrm>
                          <a:off x="0" y="0"/>
                          <a:ext cx="5212080" cy="635"/>
                        </a:xfrm>
                        <a:prstGeom prst="rect">
                          <a:avLst/>
                        </a:prstGeom>
                        <a:solidFill>
                          <a:prstClr val="white"/>
                        </a:solidFill>
                        <a:ln>
                          <a:noFill/>
                        </a:ln>
                      </wps:spPr>
                      <wps:txbx>
                        <w:txbxContent>
                          <w:p w14:paraId="65D3AAD8" w14:textId="132C0EB9" w:rsidR="00552E04" w:rsidRPr="00FF74E2" w:rsidRDefault="00552E04" w:rsidP="00552E04">
                            <w:pPr>
                              <w:pStyle w:val="Caption"/>
                              <w:rPr>
                                <w:noProof/>
                                <w:sz w:val="24"/>
                              </w:rPr>
                            </w:pPr>
                            <w:r>
                              <w:t xml:space="preserve">Figure </w:t>
                            </w:r>
                            <w:fldSimple w:instr=" SEQ Figure \* ARABIC ">
                              <w:r w:rsidR="006D44A3">
                                <w:rPr>
                                  <w:noProof/>
                                </w:rPr>
                                <w:t>7</w:t>
                              </w:r>
                            </w:fldSimple>
                            <w:r>
                              <w:t>: Average Exports of  Large Firms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E1C86C" id="_x0000_s1031" type="#_x0000_t202" style="position:absolute;left:0;text-align:left;margin-left:49.8pt;margin-top:389.75pt;width:410.4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" stroked="f">
                <v:textbox style="mso-fit-shape-to-text:t" inset="0,0,0,0">
                  <w:txbxContent>
                    <w:p w14:paraId="65D3AAD8" w14:textId="132C0EB9" w:rsidR="00552E04" w:rsidRPr="00FF74E2" w:rsidRDefault="00552E04" w:rsidP="00552E04">
                      <w:pPr>
                        <w:pStyle w:val="Caption"/>
                        <w:rPr>
                          <w:noProof/>
                          <w:sz w:val="24"/>
                        </w:rPr>
                      </w:pPr>
                      <w:r>
                        <w:t xml:space="preserve">Figure </w:t>
                      </w:r>
                      <w:fldSimple w:instr=" SEQ Figure \* ARABIC ">
                        <w:r w:rsidR="006D44A3">
                          <w:rPr>
                            <w:noProof/>
                          </w:rPr>
                          <w:t>7</w:t>
                        </w:r>
                      </w:fldSimple>
                      <w:r>
                        <w:t>: Average Exports of  Large Firms</w:t>
                      </w:r>
                    </w:p>
                  </w:txbxContent>
                </v:textbox>
                <w10:wrap type="topAndBottom"/>
              </v:shape>
            </w:pict>
          </mc:Fallback>
        </mc:AlternateContent>
      </w:r>
      <w:r>
        <w:rPr>
          <w:noProof/>
        </w:rPr>
        <w:drawing>
          <wp:anchor distT="0" distB="0" distL="114300" distR="114300" simplePos="0" relativeHeight="251668480" behindDoc="1" locked="0" layoutInCell="1" allowOverlap="1" wp14:anchorId="38A568E7" wp14:editId="25929147">
            <wp:simplePos x="0" y="0"/>
            <wp:positionH relativeFrom="margin">
              <wp:align>center</wp:align>
            </wp:positionH>
            <wp:positionV relativeFrom="paragraph">
              <wp:posOffset>2699385</wp:posOffset>
            </wp:positionV>
            <wp:extent cx="4724400" cy="2179320"/>
            <wp:effectExtent l="0" t="0" r="0" b="11430"/>
            <wp:wrapTopAndBottom/>
            <wp:docPr id="1164905844" name="Chart 1">
              <a:extLst xmlns:a="http://schemas.openxmlformats.org/drawingml/2006/main">
                <a:ext uri="{FF2B5EF4-FFF2-40B4-BE49-F238E27FC236}">
                  <a16:creationId xmlns:a16="http://schemas.microsoft.com/office/drawing/2014/main" id="{C673D527-D84D-C2DD-DC66-1D13E533B3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67800">
        <w:t xml:space="preserve">Table </w:t>
      </w:r>
      <w:fldSimple w:instr=" SEQ Table \* ARABIC ">
        <w:r w:rsidR="006D44A3">
          <w:rPr>
            <w:noProof/>
          </w:rPr>
          <w:t>1</w:t>
        </w:r>
      </w:fldSimple>
      <w:r w:rsidR="00A67800">
        <w:t xml:space="preserve">: </w:t>
      </w:r>
      <w:r w:rsidR="007032E6">
        <w:t xml:space="preserve"> Average </w:t>
      </w:r>
      <w:r w:rsidR="00A67800">
        <w:t>Exports of Large Firms</w:t>
      </w:r>
    </w:p>
    <w:tbl>
      <w:tblPr>
        <w:tblStyle w:val="TableGrid"/>
        <w:tblW w:w="5000" w:type="pct"/>
        <w:tblLook w:val="04A0" w:firstRow="1" w:lastRow="0" w:firstColumn="1" w:lastColumn="0" w:noHBand="0" w:noVBand="1"/>
      </w:tblPr>
      <w:tblGrid>
        <w:gridCol w:w="3742"/>
        <w:gridCol w:w="5274"/>
      </w:tblGrid>
      <w:tr w:rsidR="005D0B2B" w:rsidRPr="005D0B2B" w14:paraId="323CD61F" w14:textId="77777777" w:rsidTr="005D0B2B">
        <w:trPr>
          <w:trHeight w:val="427"/>
        </w:trPr>
        <w:tc>
          <w:tcPr>
            <w:tcW w:w="2075" w:type="pct"/>
            <w:noWrap/>
            <w:hideMark/>
          </w:tcPr>
          <w:p w14:paraId="57D3776F"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YEARS</w:t>
            </w:r>
          </w:p>
        </w:tc>
        <w:tc>
          <w:tcPr>
            <w:tcW w:w="2925" w:type="pct"/>
            <w:noWrap/>
            <w:hideMark/>
          </w:tcPr>
          <w:p w14:paraId="6699B836" w14:textId="450AD01A"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EXPORTS (in ₹ Crores)</w:t>
            </w:r>
          </w:p>
        </w:tc>
      </w:tr>
      <w:tr w:rsidR="005D0B2B" w:rsidRPr="005D0B2B" w14:paraId="03908528" w14:textId="77777777" w:rsidTr="005D0B2B">
        <w:trPr>
          <w:trHeight w:val="249"/>
        </w:trPr>
        <w:tc>
          <w:tcPr>
            <w:tcW w:w="2075" w:type="pct"/>
            <w:noWrap/>
            <w:hideMark/>
          </w:tcPr>
          <w:p w14:paraId="62EF2951"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2016</w:t>
            </w:r>
          </w:p>
        </w:tc>
        <w:tc>
          <w:tcPr>
            <w:tcW w:w="2925" w:type="pct"/>
            <w:noWrap/>
            <w:hideMark/>
          </w:tcPr>
          <w:p w14:paraId="0C110243"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667.982</w:t>
            </w:r>
          </w:p>
        </w:tc>
      </w:tr>
      <w:tr w:rsidR="005D0B2B" w:rsidRPr="005D0B2B" w14:paraId="1DED9EC7" w14:textId="77777777" w:rsidTr="005D0B2B">
        <w:trPr>
          <w:trHeight w:val="427"/>
        </w:trPr>
        <w:tc>
          <w:tcPr>
            <w:tcW w:w="2075" w:type="pct"/>
            <w:noWrap/>
            <w:hideMark/>
          </w:tcPr>
          <w:p w14:paraId="5A510794"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2017</w:t>
            </w:r>
          </w:p>
        </w:tc>
        <w:tc>
          <w:tcPr>
            <w:tcW w:w="2925" w:type="pct"/>
            <w:noWrap/>
            <w:hideMark/>
          </w:tcPr>
          <w:p w14:paraId="719C8D82"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718.851</w:t>
            </w:r>
          </w:p>
        </w:tc>
      </w:tr>
      <w:tr w:rsidR="005D0B2B" w:rsidRPr="005D0B2B" w14:paraId="22D7FAEF" w14:textId="77777777" w:rsidTr="005D0B2B">
        <w:trPr>
          <w:trHeight w:val="427"/>
        </w:trPr>
        <w:tc>
          <w:tcPr>
            <w:tcW w:w="2075" w:type="pct"/>
            <w:noWrap/>
            <w:hideMark/>
          </w:tcPr>
          <w:p w14:paraId="3FF0F728"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2018</w:t>
            </w:r>
          </w:p>
        </w:tc>
        <w:tc>
          <w:tcPr>
            <w:tcW w:w="2925" w:type="pct"/>
            <w:noWrap/>
            <w:hideMark/>
          </w:tcPr>
          <w:p w14:paraId="1A46A295"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838.08</w:t>
            </w:r>
          </w:p>
        </w:tc>
      </w:tr>
      <w:tr w:rsidR="005D0B2B" w:rsidRPr="005D0B2B" w14:paraId="3E28A02A" w14:textId="77777777" w:rsidTr="005D0B2B">
        <w:trPr>
          <w:trHeight w:val="427"/>
        </w:trPr>
        <w:tc>
          <w:tcPr>
            <w:tcW w:w="2075" w:type="pct"/>
            <w:noWrap/>
            <w:hideMark/>
          </w:tcPr>
          <w:p w14:paraId="52C25D44"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lastRenderedPageBreak/>
              <w:t>2019</w:t>
            </w:r>
          </w:p>
        </w:tc>
        <w:tc>
          <w:tcPr>
            <w:tcW w:w="2925" w:type="pct"/>
            <w:noWrap/>
            <w:hideMark/>
          </w:tcPr>
          <w:p w14:paraId="0580ED9F"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991.342</w:t>
            </w:r>
          </w:p>
        </w:tc>
      </w:tr>
      <w:tr w:rsidR="005D0B2B" w:rsidRPr="005D0B2B" w14:paraId="3522B497" w14:textId="77777777" w:rsidTr="005D0B2B">
        <w:trPr>
          <w:trHeight w:val="427"/>
        </w:trPr>
        <w:tc>
          <w:tcPr>
            <w:tcW w:w="2075" w:type="pct"/>
            <w:noWrap/>
            <w:hideMark/>
          </w:tcPr>
          <w:p w14:paraId="379535F6" w14:textId="446256B6"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2020</w:t>
            </w:r>
          </w:p>
        </w:tc>
        <w:tc>
          <w:tcPr>
            <w:tcW w:w="2925" w:type="pct"/>
            <w:noWrap/>
            <w:hideMark/>
          </w:tcPr>
          <w:p w14:paraId="7243FBE0"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907.411</w:t>
            </w:r>
          </w:p>
        </w:tc>
      </w:tr>
      <w:tr w:rsidR="005D0B2B" w:rsidRPr="005D0B2B" w14:paraId="0EDEE7F1" w14:textId="77777777" w:rsidTr="005D0B2B">
        <w:trPr>
          <w:trHeight w:val="427"/>
        </w:trPr>
        <w:tc>
          <w:tcPr>
            <w:tcW w:w="2075" w:type="pct"/>
            <w:noWrap/>
            <w:hideMark/>
          </w:tcPr>
          <w:p w14:paraId="0F76D435" w14:textId="77777777"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2021</w:t>
            </w:r>
          </w:p>
        </w:tc>
        <w:tc>
          <w:tcPr>
            <w:tcW w:w="2925" w:type="pct"/>
            <w:noWrap/>
            <w:hideMark/>
          </w:tcPr>
          <w:p w14:paraId="5CB7B671"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1116.69</w:t>
            </w:r>
          </w:p>
        </w:tc>
      </w:tr>
      <w:tr w:rsidR="005D0B2B" w:rsidRPr="005D0B2B" w14:paraId="710240E4" w14:textId="77777777" w:rsidTr="005D0B2B">
        <w:trPr>
          <w:trHeight w:val="173"/>
        </w:trPr>
        <w:tc>
          <w:tcPr>
            <w:tcW w:w="2075" w:type="pct"/>
            <w:noWrap/>
            <w:hideMark/>
          </w:tcPr>
          <w:p w14:paraId="1874C8B1" w14:textId="703200D2" w:rsidR="00A67800" w:rsidRPr="005D0B2B" w:rsidRDefault="00A67800" w:rsidP="00A67800">
            <w:pPr>
              <w:spacing w:before="0" w:after="0"/>
              <w:jc w:val="left"/>
              <w:rPr>
                <w:rFonts w:eastAsia="Times New Roman" w:cs="Times New Roman"/>
                <w:kern w:val="0"/>
                <w:lang w:eastAsia="en-IN"/>
                <w14:ligatures w14:val="none"/>
              </w:rPr>
            </w:pPr>
            <w:r w:rsidRPr="005D0B2B">
              <w:rPr>
                <w:rFonts w:eastAsia="Times New Roman" w:cs="Times New Roman"/>
                <w:kern w:val="0"/>
                <w:lang w:eastAsia="en-IN"/>
                <w14:ligatures w14:val="none"/>
              </w:rPr>
              <w:t>2022</w:t>
            </w:r>
          </w:p>
        </w:tc>
        <w:tc>
          <w:tcPr>
            <w:tcW w:w="2925" w:type="pct"/>
            <w:noWrap/>
            <w:hideMark/>
          </w:tcPr>
          <w:p w14:paraId="5343F45C" w14:textId="77777777" w:rsidR="00A67800" w:rsidRPr="005D0B2B" w:rsidRDefault="00A67800" w:rsidP="00A67800">
            <w:pPr>
              <w:spacing w:before="0" w:after="0"/>
              <w:jc w:val="center"/>
              <w:rPr>
                <w:rFonts w:eastAsia="Times New Roman" w:cs="Times New Roman"/>
                <w:kern w:val="0"/>
                <w:lang w:eastAsia="en-IN"/>
                <w14:ligatures w14:val="none"/>
              </w:rPr>
            </w:pPr>
            <w:r w:rsidRPr="005D0B2B">
              <w:rPr>
                <w:rFonts w:eastAsia="Times New Roman" w:cs="Times New Roman"/>
                <w:kern w:val="0"/>
                <w:lang w:eastAsia="en-IN"/>
                <w14:ligatures w14:val="none"/>
              </w:rPr>
              <w:t>1113.7</w:t>
            </w:r>
          </w:p>
        </w:tc>
      </w:tr>
    </w:tbl>
    <w:p w14:paraId="10920A5E" w14:textId="37C433B6" w:rsidR="007032E6" w:rsidRPr="005D0B2B" w:rsidRDefault="007032E6" w:rsidP="005D0B2B">
      <w:r w:rsidRPr="005D0B2B">
        <w:t xml:space="preserve">Table </w:t>
      </w:r>
      <w:fldSimple w:instr=" SEQ Table \* ARABIC ">
        <w:r w:rsidR="006D44A3">
          <w:rPr>
            <w:noProof/>
          </w:rPr>
          <w:t>2</w:t>
        </w:r>
      </w:fldSimple>
      <w:r w:rsidRPr="005D0B2B">
        <w:t>: Average Exports of Small Firms</w:t>
      </w:r>
    </w:p>
    <w:tbl>
      <w:tblPr>
        <w:tblStyle w:val="TableGrid"/>
        <w:tblW w:w="9493" w:type="dxa"/>
        <w:tblLook w:val="04A0" w:firstRow="1" w:lastRow="0" w:firstColumn="1" w:lastColumn="0" w:noHBand="0" w:noVBand="1"/>
      </w:tblPr>
      <w:tblGrid>
        <w:gridCol w:w="3681"/>
        <w:gridCol w:w="5812"/>
      </w:tblGrid>
      <w:tr w:rsidR="005D0B2B" w:rsidRPr="005D0B2B" w14:paraId="287CD904" w14:textId="77777777" w:rsidTr="007032E6">
        <w:trPr>
          <w:trHeight w:val="419"/>
        </w:trPr>
        <w:tc>
          <w:tcPr>
            <w:tcW w:w="3681" w:type="dxa"/>
            <w:noWrap/>
            <w:hideMark/>
          </w:tcPr>
          <w:p w14:paraId="0B57E6AF" w14:textId="05C4DE1E"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YEARS</w:t>
            </w:r>
          </w:p>
        </w:tc>
        <w:tc>
          <w:tcPr>
            <w:tcW w:w="5812" w:type="dxa"/>
            <w:noWrap/>
            <w:hideMark/>
          </w:tcPr>
          <w:p w14:paraId="46398A56" w14:textId="59153B32"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EXPORT</w:t>
            </w:r>
            <w:r w:rsidR="004E5043" w:rsidRPr="005D0B2B">
              <w:rPr>
                <w:rFonts w:eastAsia="Times New Roman" w:cs="Times New Roman"/>
                <w:kern w:val="0"/>
                <w:lang w:eastAsia="en-IN"/>
                <w14:ligatures w14:val="none"/>
              </w:rPr>
              <w:t xml:space="preserve">S </w:t>
            </w:r>
            <w:r w:rsidR="007032E6" w:rsidRPr="005D0B2B">
              <w:rPr>
                <w:rFonts w:eastAsia="Times New Roman" w:cs="Times New Roman"/>
                <w:kern w:val="0"/>
                <w:lang w:eastAsia="en-IN"/>
                <w14:ligatures w14:val="none"/>
              </w:rPr>
              <w:t xml:space="preserve">(in ₹ </w:t>
            </w:r>
            <w:r w:rsidR="00552E04" w:rsidRPr="005D0B2B">
              <w:rPr>
                <w:rFonts w:eastAsia="Times New Roman" w:cs="Times New Roman"/>
                <w:kern w:val="0"/>
                <w:lang w:eastAsia="en-IN"/>
                <w14:ligatures w14:val="none"/>
              </w:rPr>
              <w:t>Crores)</w:t>
            </w:r>
          </w:p>
        </w:tc>
      </w:tr>
      <w:tr w:rsidR="005D0B2B" w:rsidRPr="005D0B2B" w14:paraId="7E0F9E95" w14:textId="77777777" w:rsidTr="007032E6">
        <w:trPr>
          <w:trHeight w:val="419"/>
        </w:trPr>
        <w:tc>
          <w:tcPr>
            <w:tcW w:w="3681" w:type="dxa"/>
            <w:noWrap/>
            <w:hideMark/>
          </w:tcPr>
          <w:p w14:paraId="589E24C6"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2016</w:t>
            </w:r>
          </w:p>
        </w:tc>
        <w:tc>
          <w:tcPr>
            <w:tcW w:w="5812" w:type="dxa"/>
            <w:noWrap/>
            <w:hideMark/>
          </w:tcPr>
          <w:p w14:paraId="45F5B438" w14:textId="711E2797"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31.208</w:t>
            </w:r>
          </w:p>
        </w:tc>
      </w:tr>
      <w:tr w:rsidR="005D0B2B" w:rsidRPr="005D0B2B" w14:paraId="45A3D487" w14:textId="77777777" w:rsidTr="007032E6">
        <w:trPr>
          <w:trHeight w:val="419"/>
        </w:trPr>
        <w:tc>
          <w:tcPr>
            <w:tcW w:w="3681" w:type="dxa"/>
            <w:noWrap/>
            <w:hideMark/>
          </w:tcPr>
          <w:p w14:paraId="3843BCF4"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2017</w:t>
            </w:r>
          </w:p>
        </w:tc>
        <w:tc>
          <w:tcPr>
            <w:tcW w:w="5812" w:type="dxa"/>
            <w:noWrap/>
            <w:hideMark/>
          </w:tcPr>
          <w:p w14:paraId="19B4BC2D" w14:textId="7AD69906"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33.77</w:t>
            </w:r>
          </w:p>
        </w:tc>
      </w:tr>
      <w:tr w:rsidR="005D0B2B" w:rsidRPr="005D0B2B" w14:paraId="5EE8B628" w14:textId="77777777" w:rsidTr="007032E6">
        <w:trPr>
          <w:trHeight w:val="419"/>
        </w:trPr>
        <w:tc>
          <w:tcPr>
            <w:tcW w:w="3681" w:type="dxa"/>
            <w:noWrap/>
            <w:hideMark/>
          </w:tcPr>
          <w:p w14:paraId="391D1224"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2018</w:t>
            </w:r>
          </w:p>
        </w:tc>
        <w:tc>
          <w:tcPr>
            <w:tcW w:w="5812" w:type="dxa"/>
            <w:noWrap/>
            <w:hideMark/>
          </w:tcPr>
          <w:p w14:paraId="2B4DB36A" w14:textId="77777777"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63.764</w:t>
            </w:r>
          </w:p>
        </w:tc>
      </w:tr>
      <w:tr w:rsidR="005D0B2B" w:rsidRPr="005D0B2B" w14:paraId="733A70A6" w14:textId="77777777" w:rsidTr="007032E6">
        <w:trPr>
          <w:trHeight w:val="419"/>
        </w:trPr>
        <w:tc>
          <w:tcPr>
            <w:tcW w:w="3681" w:type="dxa"/>
            <w:noWrap/>
            <w:hideMark/>
          </w:tcPr>
          <w:p w14:paraId="20A115C4"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2019</w:t>
            </w:r>
          </w:p>
        </w:tc>
        <w:tc>
          <w:tcPr>
            <w:tcW w:w="5812" w:type="dxa"/>
            <w:noWrap/>
            <w:hideMark/>
          </w:tcPr>
          <w:p w14:paraId="5ECCD5FF" w14:textId="72A9BAB4"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129.602</w:t>
            </w:r>
          </w:p>
        </w:tc>
      </w:tr>
      <w:tr w:rsidR="005D0B2B" w:rsidRPr="005D0B2B" w14:paraId="5A42309F" w14:textId="77777777" w:rsidTr="007032E6">
        <w:trPr>
          <w:trHeight w:val="419"/>
        </w:trPr>
        <w:tc>
          <w:tcPr>
            <w:tcW w:w="3681" w:type="dxa"/>
            <w:noWrap/>
            <w:hideMark/>
          </w:tcPr>
          <w:p w14:paraId="2400886B"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2020</w:t>
            </w:r>
          </w:p>
        </w:tc>
        <w:tc>
          <w:tcPr>
            <w:tcW w:w="5812" w:type="dxa"/>
            <w:noWrap/>
            <w:hideMark/>
          </w:tcPr>
          <w:p w14:paraId="437E2AF1" w14:textId="77777777"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85.703</w:t>
            </w:r>
          </w:p>
        </w:tc>
      </w:tr>
      <w:tr w:rsidR="005D0B2B" w:rsidRPr="005D0B2B" w14:paraId="51D9D2D4" w14:textId="77777777" w:rsidTr="007032E6">
        <w:trPr>
          <w:trHeight w:val="419"/>
        </w:trPr>
        <w:tc>
          <w:tcPr>
            <w:tcW w:w="3681" w:type="dxa"/>
            <w:noWrap/>
            <w:hideMark/>
          </w:tcPr>
          <w:p w14:paraId="38503222"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2021</w:t>
            </w:r>
          </w:p>
        </w:tc>
        <w:tc>
          <w:tcPr>
            <w:tcW w:w="5812" w:type="dxa"/>
            <w:noWrap/>
            <w:hideMark/>
          </w:tcPr>
          <w:p w14:paraId="77A00B2E" w14:textId="77777777"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113.79</w:t>
            </w:r>
          </w:p>
        </w:tc>
      </w:tr>
      <w:tr w:rsidR="005D0B2B" w:rsidRPr="005D0B2B" w14:paraId="79AA7AD4" w14:textId="77777777" w:rsidTr="007032E6">
        <w:trPr>
          <w:trHeight w:val="58"/>
        </w:trPr>
        <w:tc>
          <w:tcPr>
            <w:tcW w:w="3681" w:type="dxa"/>
            <w:noWrap/>
            <w:hideMark/>
          </w:tcPr>
          <w:p w14:paraId="2C79F73E" w14:textId="77777777" w:rsidR="00F46091" w:rsidRPr="005D0B2B" w:rsidRDefault="00F46091" w:rsidP="007032E6">
            <w:pPr>
              <w:spacing w:line="240" w:lineRule="auto"/>
              <w:rPr>
                <w:rFonts w:eastAsia="Times New Roman" w:cs="Times New Roman"/>
                <w:kern w:val="0"/>
                <w:lang w:eastAsia="en-IN"/>
                <w14:ligatures w14:val="none"/>
              </w:rPr>
            </w:pPr>
            <w:r w:rsidRPr="005D0B2B">
              <w:rPr>
                <w:rFonts w:eastAsia="Times New Roman" w:cs="Times New Roman"/>
                <w:kern w:val="0"/>
                <w:lang w:eastAsia="en-IN"/>
                <w14:ligatures w14:val="none"/>
              </w:rPr>
              <w:t>2022</w:t>
            </w:r>
          </w:p>
        </w:tc>
        <w:tc>
          <w:tcPr>
            <w:tcW w:w="5812" w:type="dxa"/>
            <w:noWrap/>
            <w:hideMark/>
          </w:tcPr>
          <w:p w14:paraId="5E0ED266" w14:textId="77777777" w:rsidR="00F46091" w:rsidRPr="005D0B2B" w:rsidRDefault="00F46091" w:rsidP="007032E6">
            <w:pPr>
              <w:spacing w:line="240" w:lineRule="auto"/>
              <w:jc w:val="center"/>
              <w:rPr>
                <w:rFonts w:eastAsia="Times New Roman" w:cs="Times New Roman"/>
                <w:kern w:val="0"/>
                <w:lang w:eastAsia="en-IN"/>
                <w14:ligatures w14:val="none"/>
              </w:rPr>
            </w:pPr>
            <w:r w:rsidRPr="005D0B2B">
              <w:rPr>
                <w:rFonts w:eastAsia="Times New Roman" w:cs="Times New Roman"/>
                <w:kern w:val="0"/>
                <w:lang w:eastAsia="en-IN"/>
                <w14:ligatures w14:val="none"/>
              </w:rPr>
              <w:t>118.875</w:t>
            </w:r>
          </w:p>
        </w:tc>
      </w:tr>
    </w:tbl>
    <w:p w14:paraId="7B1DFEC6" w14:textId="3182F88A" w:rsidR="007032E6" w:rsidRDefault="00255023" w:rsidP="00B34C0F">
      <w:pPr>
        <w:rPr>
          <w:rFonts w:cs="Times New Roman"/>
        </w:rPr>
      </w:pPr>
      <w:r>
        <w:rPr>
          <w:rFonts w:cs="Times New Roman"/>
        </w:rPr>
        <w:tab/>
      </w:r>
    </w:p>
    <w:p w14:paraId="1C3706D0" w14:textId="6B6773FE" w:rsidR="0007685C" w:rsidRDefault="009D5414" w:rsidP="00B34C0F">
      <w:pPr>
        <w:rPr>
          <w:rFonts w:cs="Times New Roman"/>
          <w:sz w:val="28"/>
          <w:szCs w:val="28"/>
        </w:rPr>
      </w:pPr>
      <w:r>
        <w:rPr>
          <w:noProof/>
        </w:rPr>
        <mc:AlternateContent>
          <mc:Choice Requires="wps">
            <w:drawing>
              <wp:anchor distT="0" distB="0" distL="114300" distR="114300" simplePos="0" relativeHeight="251685888" behindDoc="0" locked="0" layoutInCell="1" allowOverlap="1" wp14:anchorId="54044455" wp14:editId="78E2CA0B">
                <wp:simplePos x="0" y="0"/>
                <wp:positionH relativeFrom="column">
                  <wp:posOffset>455930</wp:posOffset>
                </wp:positionH>
                <wp:positionV relativeFrom="paragraph">
                  <wp:posOffset>2838450</wp:posOffset>
                </wp:positionV>
                <wp:extent cx="4815840" cy="635"/>
                <wp:effectExtent l="0" t="0" r="0" b="0"/>
                <wp:wrapTopAndBottom/>
                <wp:docPr id="1654630811" name="Text Box 1"/>
                <wp:cNvGraphicFramePr/>
                <a:graphic xmlns:a="http://schemas.openxmlformats.org/drawingml/2006/main">
                  <a:graphicData uri="http://schemas.microsoft.com/office/word/2010/wordprocessingShape">
                    <wps:wsp>
                      <wps:cNvSpPr txBox="1"/>
                      <wps:spPr>
                        <a:xfrm>
                          <a:off x="0" y="0"/>
                          <a:ext cx="4815840" cy="635"/>
                        </a:xfrm>
                        <a:prstGeom prst="rect">
                          <a:avLst/>
                        </a:prstGeom>
                        <a:solidFill>
                          <a:prstClr val="white"/>
                        </a:solidFill>
                        <a:ln>
                          <a:noFill/>
                        </a:ln>
                      </wps:spPr>
                      <wps:txbx>
                        <w:txbxContent>
                          <w:p w14:paraId="099A8407" w14:textId="6E14B9C1" w:rsidR="009D5414" w:rsidRPr="005D0B2B" w:rsidRDefault="009D5414" w:rsidP="009D5414">
                            <w:pPr>
                              <w:pStyle w:val="Caption"/>
                              <w:rPr>
                                <w:i/>
                                <w:noProof/>
                                <w:sz w:val="24"/>
                                <w:szCs w:val="24"/>
                              </w:rPr>
                            </w:pPr>
                            <w:r w:rsidRPr="005D0B2B">
                              <w:rPr>
                                <w:sz w:val="24"/>
                                <w:szCs w:val="24"/>
                              </w:rPr>
                              <w:t xml:space="preserve">Figure </w:t>
                            </w:r>
                            <w:r w:rsidRPr="005D0B2B">
                              <w:rPr>
                                <w:sz w:val="24"/>
                                <w:szCs w:val="24"/>
                              </w:rPr>
                              <w:fldChar w:fldCharType="begin"/>
                            </w:r>
                            <w:r w:rsidRPr="005D0B2B">
                              <w:rPr>
                                <w:sz w:val="24"/>
                                <w:szCs w:val="24"/>
                              </w:rPr>
                              <w:instrText xml:space="preserve"> SEQ Figure \* ARABIC </w:instrText>
                            </w:r>
                            <w:r w:rsidRPr="005D0B2B">
                              <w:rPr>
                                <w:sz w:val="24"/>
                                <w:szCs w:val="24"/>
                              </w:rPr>
                              <w:fldChar w:fldCharType="separate"/>
                            </w:r>
                            <w:r w:rsidR="006D44A3">
                              <w:rPr>
                                <w:noProof/>
                                <w:sz w:val="24"/>
                                <w:szCs w:val="24"/>
                              </w:rPr>
                              <w:t>8</w:t>
                            </w:r>
                            <w:r w:rsidRPr="005D0B2B">
                              <w:rPr>
                                <w:sz w:val="24"/>
                                <w:szCs w:val="24"/>
                              </w:rPr>
                              <w:fldChar w:fldCharType="end"/>
                            </w:r>
                            <w:r w:rsidRPr="005D0B2B">
                              <w:rPr>
                                <w:sz w:val="24"/>
                                <w:szCs w:val="24"/>
                              </w:rPr>
                              <w:t>: Average Exports of Small Firms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044455" id="_x0000_s1032" type="#_x0000_t202" style="position:absolute;left:0;text-align:left;margin-left:35.9pt;margin-top:223.5pt;width:379.2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" stroked="f">
                <v:textbox style="mso-fit-shape-to-text:t" inset="0,0,0,0">
                  <w:txbxContent>
                    <w:p w14:paraId="099A8407" w14:textId="6E14B9C1" w:rsidR="009D5414" w:rsidRPr="005D0B2B" w:rsidRDefault="009D5414" w:rsidP="009D5414">
                      <w:pPr>
                        <w:pStyle w:val="Caption"/>
                        <w:rPr>
                          <w:i/>
                          <w:noProof/>
                          <w:sz w:val="24"/>
                          <w:szCs w:val="24"/>
                        </w:rPr>
                      </w:pPr>
                      <w:r w:rsidRPr="005D0B2B">
                        <w:rPr>
                          <w:sz w:val="24"/>
                          <w:szCs w:val="24"/>
                        </w:rPr>
                        <w:t xml:space="preserve">Figure </w:t>
                      </w:r>
                      <w:r w:rsidRPr="005D0B2B">
                        <w:rPr>
                          <w:sz w:val="24"/>
                          <w:szCs w:val="24"/>
                        </w:rPr>
                        <w:fldChar w:fldCharType="begin"/>
                      </w:r>
                      <w:r w:rsidRPr="005D0B2B">
                        <w:rPr>
                          <w:sz w:val="24"/>
                          <w:szCs w:val="24"/>
                        </w:rPr>
                        <w:instrText xml:space="preserve"> SEQ Figure \* ARABIC </w:instrText>
                      </w:r>
                      <w:r w:rsidRPr="005D0B2B">
                        <w:rPr>
                          <w:sz w:val="24"/>
                          <w:szCs w:val="24"/>
                        </w:rPr>
                        <w:fldChar w:fldCharType="separate"/>
                      </w:r>
                      <w:r w:rsidR="006D44A3">
                        <w:rPr>
                          <w:noProof/>
                          <w:sz w:val="24"/>
                          <w:szCs w:val="24"/>
                        </w:rPr>
                        <w:t>8</w:t>
                      </w:r>
                      <w:r w:rsidRPr="005D0B2B">
                        <w:rPr>
                          <w:sz w:val="24"/>
                          <w:szCs w:val="24"/>
                        </w:rPr>
                        <w:fldChar w:fldCharType="end"/>
                      </w:r>
                      <w:r w:rsidRPr="005D0B2B">
                        <w:rPr>
                          <w:sz w:val="24"/>
                          <w:szCs w:val="24"/>
                        </w:rPr>
                        <w:t>: Average Exports of Small Firms</w:t>
                      </w:r>
                    </w:p>
                  </w:txbxContent>
                </v:textbox>
                <w10:wrap type="topAndBottom"/>
              </v:shape>
            </w:pict>
          </mc:Fallback>
        </mc:AlternateContent>
      </w:r>
      <w:r w:rsidR="007032E6" w:rsidRPr="00AF355F">
        <w:rPr>
          <w:i/>
          <w:iCs/>
          <w:noProof/>
        </w:rPr>
        <w:drawing>
          <wp:anchor distT="0" distB="0" distL="114300" distR="114300" simplePos="0" relativeHeight="251683840" behindDoc="1" locked="0" layoutInCell="1" allowOverlap="1" wp14:anchorId="424FA2D7" wp14:editId="45800763">
            <wp:simplePos x="0" y="0"/>
            <wp:positionH relativeFrom="margin">
              <wp:align>center</wp:align>
            </wp:positionH>
            <wp:positionV relativeFrom="paragraph">
              <wp:posOffset>0</wp:posOffset>
            </wp:positionV>
            <wp:extent cx="4815840" cy="2781300"/>
            <wp:effectExtent l="0" t="0" r="3810" b="0"/>
            <wp:wrapTopAndBottom/>
            <wp:docPr id="739322143" name="Chart 1">
              <a:extLst xmlns:a="http://schemas.openxmlformats.org/drawingml/2006/main">
                <a:ext uri="{FF2B5EF4-FFF2-40B4-BE49-F238E27FC236}">
                  <a16:creationId xmlns:a16="http://schemas.microsoft.com/office/drawing/2014/main" id="{85D85098-F2D3-1C5F-2FE3-E64CA5D0F7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55023" w:rsidRPr="007E6913">
        <w:rPr>
          <w:rFonts w:cs="Times New Roman"/>
          <w:sz w:val="28"/>
          <w:szCs w:val="28"/>
        </w:rPr>
        <w:t>Though it is clear from the</w:t>
      </w:r>
      <w:r w:rsidR="00313040" w:rsidRPr="007E6913">
        <w:rPr>
          <w:rFonts w:cs="Times New Roman"/>
          <w:sz w:val="28"/>
          <w:szCs w:val="28"/>
        </w:rPr>
        <w:t xml:space="preserve"> graphs that the Services export</w:t>
      </w:r>
      <w:r w:rsidR="00E32AB2">
        <w:rPr>
          <w:rFonts w:cs="Times New Roman"/>
          <w:sz w:val="28"/>
          <w:szCs w:val="28"/>
        </w:rPr>
        <w:t>ed</w:t>
      </w:r>
      <w:r w:rsidR="00313040" w:rsidRPr="007E6913">
        <w:rPr>
          <w:rFonts w:cs="Times New Roman"/>
          <w:sz w:val="28"/>
          <w:szCs w:val="28"/>
        </w:rPr>
        <w:t xml:space="preserve"> has fallen for both sections of the firms.</w:t>
      </w:r>
      <w:r w:rsidR="00B241DA" w:rsidRPr="007E6913">
        <w:rPr>
          <w:rFonts w:cs="Times New Roman"/>
          <w:sz w:val="28"/>
          <w:szCs w:val="28"/>
        </w:rPr>
        <w:t xml:space="preserve"> But comin</w:t>
      </w:r>
      <w:r w:rsidR="007E6913">
        <w:rPr>
          <w:rFonts w:cs="Times New Roman"/>
          <w:sz w:val="28"/>
          <w:szCs w:val="28"/>
        </w:rPr>
        <w:t xml:space="preserve">g </w:t>
      </w:r>
      <w:r w:rsidR="00B241DA" w:rsidRPr="007E6913">
        <w:rPr>
          <w:rFonts w:cs="Times New Roman"/>
          <w:sz w:val="28"/>
          <w:szCs w:val="28"/>
        </w:rPr>
        <w:t>to the change in</w:t>
      </w:r>
      <w:r w:rsidR="00E32AB2">
        <w:rPr>
          <w:rFonts w:cs="Times New Roman"/>
          <w:sz w:val="28"/>
          <w:szCs w:val="28"/>
        </w:rPr>
        <w:t xml:space="preserve"> growth of</w:t>
      </w:r>
      <w:r w:rsidR="00B241DA" w:rsidRPr="007E6913">
        <w:rPr>
          <w:rFonts w:cs="Times New Roman"/>
          <w:sz w:val="28"/>
          <w:szCs w:val="28"/>
        </w:rPr>
        <w:t xml:space="preserve"> exports</w:t>
      </w:r>
      <w:r w:rsidR="00026BA9" w:rsidRPr="007E6913">
        <w:rPr>
          <w:rFonts w:cs="Times New Roman"/>
          <w:sz w:val="28"/>
          <w:szCs w:val="28"/>
        </w:rPr>
        <w:t>,</w:t>
      </w:r>
      <w:r w:rsidR="007E6913">
        <w:rPr>
          <w:rFonts w:cs="Times New Roman"/>
          <w:sz w:val="28"/>
          <w:szCs w:val="28"/>
        </w:rPr>
        <w:t xml:space="preserve"> </w:t>
      </w:r>
      <w:r w:rsidR="00026BA9" w:rsidRPr="007E6913">
        <w:rPr>
          <w:rFonts w:cs="Times New Roman"/>
          <w:sz w:val="28"/>
          <w:szCs w:val="28"/>
        </w:rPr>
        <w:t>it differs</w:t>
      </w:r>
      <w:r w:rsidR="00655917" w:rsidRPr="007E6913">
        <w:rPr>
          <w:rFonts w:cs="Times New Roman"/>
          <w:sz w:val="28"/>
          <w:szCs w:val="28"/>
        </w:rPr>
        <w:t>.</w:t>
      </w:r>
      <w:r w:rsidR="008956BF">
        <w:rPr>
          <w:rFonts w:cs="Times New Roman"/>
          <w:sz w:val="28"/>
          <w:szCs w:val="28"/>
        </w:rPr>
        <w:t xml:space="preserve"> It can be seen th</w:t>
      </w:r>
      <w:r w:rsidR="00293FCF">
        <w:rPr>
          <w:rFonts w:cs="Times New Roman"/>
          <w:sz w:val="28"/>
          <w:szCs w:val="28"/>
        </w:rPr>
        <w:t xml:space="preserve">at </w:t>
      </w:r>
      <w:r w:rsidR="00AA44BD">
        <w:rPr>
          <w:rFonts w:cs="Times New Roman"/>
          <w:sz w:val="28"/>
          <w:szCs w:val="28"/>
        </w:rPr>
        <w:t xml:space="preserve">average growth of exports was </w:t>
      </w:r>
      <w:r w:rsidR="00D74AA3">
        <w:rPr>
          <w:rFonts w:cs="Times New Roman"/>
          <w:sz w:val="28"/>
          <w:szCs w:val="28"/>
        </w:rPr>
        <w:t xml:space="preserve">103.253% for small firms in the </w:t>
      </w:r>
      <w:r w:rsidR="00D74AA3">
        <w:rPr>
          <w:rFonts w:cs="Times New Roman"/>
          <w:sz w:val="28"/>
          <w:szCs w:val="28"/>
        </w:rPr>
        <w:lastRenderedPageBreak/>
        <w:t xml:space="preserve">year 2019. But it has fallen </w:t>
      </w:r>
      <w:r w:rsidR="007135B5">
        <w:rPr>
          <w:rFonts w:cs="Times New Roman"/>
          <w:sz w:val="28"/>
          <w:szCs w:val="28"/>
        </w:rPr>
        <w:t>negative to -33.8722</w:t>
      </w:r>
      <w:r w:rsidR="00B67676">
        <w:rPr>
          <w:rFonts w:cs="Times New Roman"/>
          <w:sz w:val="28"/>
          <w:szCs w:val="28"/>
        </w:rPr>
        <w:t>%.</w:t>
      </w:r>
      <w:r w:rsidR="003E4E03">
        <w:rPr>
          <w:rFonts w:cs="Times New Roman"/>
          <w:sz w:val="28"/>
          <w:szCs w:val="28"/>
        </w:rPr>
        <w:t xml:space="preserve"> but for the large firms the growth</w:t>
      </w:r>
      <w:r w:rsidR="00B67676">
        <w:rPr>
          <w:rFonts w:cs="Times New Roman"/>
          <w:sz w:val="28"/>
          <w:szCs w:val="28"/>
        </w:rPr>
        <w:t xml:space="preserve"> of exports has fallen to -8.464 % from </w:t>
      </w:r>
      <w:r w:rsidR="004C1D58">
        <w:rPr>
          <w:rFonts w:cs="Times New Roman"/>
          <w:sz w:val="28"/>
          <w:szCs w:val="28"/>
        </w:rPr>
        <w:t>18.2873% of the previous year 2019.</w:t>
      </w:r>
      <w:r w:rsidR="00EE4FA0">
        <w:rPr>
          <w:rFonts w:cs="Times New Roman"/>
          <w:sz w:val="28"/>
          <w:szCs w:val="28"/>
        </w:rPr>
        <w:t xml:space="preserve"> B</w:t>
      </w:r>
      <w:r w:rsidR="00830071">
        <w:rPr>
          <w:rFonts w:cs="Times New Roman"/>
          <w:sz w:val="28"/>
          <w:szCs w:val="28"/>
        </w:rPr>
        <w:t xml:space="preserve">ut due to the </w:t>
      </w:r>
      <w:r w:rsidR="00EE4FA0">
        <w:rPr>
          <w:rFonts w:cs="Times New Roman"/>
          <w:sz w:val="28"/>
          <w:szCs w:val="28"/>
        </w:rPr>
        <w:t xml:space="preserve">demand in the industry especially from abroad both the sections of the firms could revive </w:t>
      </w:r>
      <w:r w:rsidR="008F564D">
        <w:rPr>
          <w:rFonts w:cs="Times New Roman"/>
          <w:sz w:val="28"/>
          <w:szCs w:val="28"/>
        </w:rPr>
        <w:t>back easily within a financial year and this is clearly reflected in the graph</w:t>
      </w:r>
      <w:r w:rsidR="00882D31">
        <w:rPr>
          <w:rFonts w:cs="Times New Roman"/>
          <w:sz w:val="28"/>
          <w:szCs w:val="28"/>
        </w:rPr>
        <w:t>.</w:t>
      </w:r>
    </w:p>
    <w:p w14:paraId="77E311F3" w14:textId="2D291973" w:rsidR="009D5414" w:rsidRPr="009D5414" w:rsidRDefault="009D5414" w:rsidP="00B34C0F">
      <w:pPr>
        <w:rPr>
          <w:rFonts w:cs="Times New Roman"/>
        </w:rPr>
      </w:pPr>
      <w:r>
        <w:rPr>
          <w:noProof/>
        </w:rPr>
        <mc:AlternateContent>
          <mc:Choice Requires="wps">
            <w:drawing>
              <wp:anchor distT="0" distB="0" distL="114300" distR="114300" simplePos="0" relativeHeight="251689984" behindDoc="0" locked="0" layoutInCell="1" allowOverlap="1" wp14:anchorId="1CC20D2C" wp14:editId="3F383AE5">
                <wp:simplePos x="0" y="0"/>
                <wp:positionH relativeFrom="column">
                  <wp:posOffset>309245</wp:posOffset>
                </wp:positionH>
                <wp:positionV relativeFrom="paragraph">
                  <wp:posOffset>2940685</wp:posOffset>
                </wp:positionV>
                <wp:extent cx="5143500" cy="635"/>
                <wp:effectExtent l="0" t="0" r="0" b="0"/>
                <wp:wrapTopAndBottom/>
                <wp:docPr id="310193445" name="Text Box 1"/>
                <wp:cNvGraphicFramePr/>
                <a:graphic xmlns:a="http://schemas.openxmlformats.org/drawingml/2006/main">
                  <a:graphicData uri="http://schemas.microsoft.com/office/word/2010/wordprocessingShape">
                    <wps:wsp>
                      <wps:cNvSpPr txBox="1"/>
                      <wps:spPr>
                        <a:xfrm>
                          <a:off x="0" y="0"/>
                          <a:ext cx="5143500" cy="635"/>
                        </a:xfrm>
                        <a:prstGeom prst="rect">
                          <a:avLst/>
                        </a:prstGeom>
                        <a:solidFill>
                          <a:prstClr val="white"/>
                        </a:solidFill>
                        <a:ln>
                          <a:noFill/>
                        </a:ln>
                      </wps:spPr>
                      <wps:txbx>
                        <w:txbxContent>
                          <w:p w14:paraId="74C4809F" w14:textId="31CAE034" w:rsidR="009D5414" w:rsidRPr="005D0B2B" w:rsidRDefault="009D5414" w:rsidP="009D5414">
                            <w:pPr>
                              <w:pStyle w:val="Caption"/>
                              <w:rPr>
                                <w:noProof/>
                                <w:sz w:val="24"/>
                                <w:szCs w:val="24"/>
                              </w:rPr>
                            </w:pPr>
                            <w:r w:rsidRPr="005D0B2B">
                              <w:rPr>
                                <w:sz w:val="24"/>
                                <w:szCs w:val="24"/>
                              </w:rPr>
                              <w:t xml:space="preserve">Figure </w:t>
                            </w:r>
                            <w:r w:rsidRPr="005D0B2B">
                              <w:rPr>
                                <w:sz w:val="24"/>
                                <w:szCs w:val="24"/>
                              </w:rPr>
                              <w:fldChar w:fldCharType="begin"/>
                            </w:r>
                            <w:r w:rsidRPr="005D0B2B">
                              <w:rPr>
                                <w:sz w:val="24"/>
                                <w:szCs w:val="24"/>
                              </w:rPr>
                              <w:instrText xml:space="preserve"> SEQ Figure \* ARABIC </w:instrText>
                            </w:r>
                            <w:r w:rsidRPr="005D0B2B">
                              <w:rPr>
                                <w:sz w:val="24"/>
                                <w:szCs w:val="24"/>
                              </w:rPr>
                              <w:fldChar w:fldCharType="separate"/>
                            </w:r>
                            <w:r w:rsidR="006D44A3">
                              <w:rPr>
                                <w:noProof/>
                                <w:sz w:val="24"/>
                                <w:szCs w:val="24"/>
                              </w:rPr>
                              <w:t>9</w:t>
                            </w:r>
                            <w:r w:rsidRPr="005D0B2B">
                              <w:rPr>
                                <w:sz w:val="24"/>
                                <w:szCs w:val="24"/>
                              </w:rPr>
                              <w:fldChar w:fldCharType="end"/>
                            </w:r>
                            <w:r w:rsidRPr="005D0B2B">
                              <w:rPr>
                                <w:sz w:val="24"/>
                                <w:szCs w:val="24"/>
                              </w:rPr>
                              <w:t>: Percentage change in Exports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C20D2C" id="_x0000_s1033" type="#_x0000_t202" style="position:absolute;left:0;text-align:left;margin-left:24.35pt;margin-top:231.55pt;width:40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" stroked="f">
                <v:textbox style="mso-fit-shape-to-text:t" inset="0,0,0,0">
                  <w:txbxContent>
                    <w:p w14:paraId="74C4809F" w14:textId="31CAE034" w:rsidR="009D5414" w:rsidRPr="005D0B2B" w:rsidRDefault="009D5414" w:rsidP="009D5414">
                      <w:pPr>
                        <w:pStyle w:val="Caption"/>
                        <w:rPr>
                          <w:noProof/>
                          <w:sz w:val="24"/>
                          <w:szCs w:val="24"/>
                        </w:rPr>
                      </w:pPr>
                      <w:r w:rsidRPr="005D0B2B">
                        <w:rPr>
                          <w:sz w:val="24"/>
                          <w:szCs w:val="24"/>
                        </w:rPr>
                        <w:t xml:space="preserve">Figure </w:t>
                      </w:r>
                      <w:r w:rsidRPr="005D0B2B">
                        <w:rPr>
                          <w:sz w:val="24"/>
                          <w:szCs w:val="24"/>
                        </w:rPr>
                        <w:fldChar w:fldCharType="begin"/>
                      </w:r>
                      <w:r w:rsidRPr="005D0B2B">
                        <w:rPr>
                          <w:sz w:val="24"/>
                          <w:szCs w:val="24"/>
                        </w:rPr>
                        <w:instrText xml:space="preserve"> SEQ Figure \* ARABIC </w:instrText>
                      </w:r>
                      <w:r w:rsidRPr="005D0B2B">
                        <w:rPr>
                          <w:sz w:val="24"/>
                          <w:szCs w:val="24"/>
                        </w:rPr>
                        <w:fldChar w:fldCharType="separate"/>
                      </w:r>
                      <w:r w:rsidR="006D44A3">
                        <w:rPr>
                          <w:noProof/>
                          <w:sz w:val="24"/>
                          <w:szCs w:val="24"/>
                        </w:rPr>
                        <w:t>9</w:t>
                      </w:r>
                      <w:r w:rsidRPr="005D0B2B">
                        <w:rPr>
                          <w:sz w:val="24"/>
                          <w:szCs w:val="24"/>
                        </w:rPr>
                        <w:fldChar w:fldCharType="end"/>
                      </w:r>
                      <w:r w:rsidRPr="005D0B2B">
                        <w:rPr>
                          <w:sz w:val="24"/>
                          <w:szCs w:val="24"/>
                        </w:rPr>
                        <w:t>: Percentage change in Exports</w:t>
                      </w:r>
                    </w:p>
                  </w:txbxContent>
                </v:textbox>
                <w10:wrap type="topAndBottom"/>
              </v:shape>
            </w:pict>
          </mc:Fallback>
        </mc:AlternateContent>
      </w:r>
      <w:r>
        <w:rPr>
          <w:noProof/>
        </w:rPr>
        <w:drawing>
          <wp:anchor distT="0" distB="0" distL="114300" distR="114300" simplePos="0" relativeHeight="251687936" behindDoc="1" locked="0" layoutInCell="1" allowOverlap="1" wp14:anchorId="4314B8EB" wp14:editId="072204B9">
            <wp:simplePos x="0" y="0"/>
            <wp:positionH relativeFrom="margin">
              <wp:align>center</wp:align>
            </wp:positionH>
            <wp:positionV relativeFrom="paragraph">
              <wp:posOffset>309880</wp:posOffset>
            </wp:positionV>
            <wp:extent cx="5143500" cy="2842260"/>
            <wp:effectExtent l="0" t="0" r="0" b="15240"/>
            <wp:wrapTopAndBottom/>
            <wp:docPr id="711318192" name="Chart 1">
              <a:extLst xmlns:a="http://schemas.openxmlformats.org/drawingml/2006/main">
                <a:ext uri="{FF2B5EF4-FFF2-40B4-BE49-F238E27FC236}">
                  <a16:creationId xmlns:a16="http://schemas.microsoft.com/office/drawing/2014/main" id="{0528A6A4-7D6F-65C4-7C4F-1C6339D86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DC589CA" w14:textId="77777777" w:rsidR="00027AC9" w:rsidRDefault="00027AC9" w:rsidP="00A67800">
      <w:pPr>
        <w:pStyle w:val="Heading1"/>
      </w:pPr>
      <w:r>
        <w:t>CONCLUSIONS</w:t>
      </w:r>
    </w:p>
    <w:p w14:paraId="311FE2C0" w14:textId="6F66B772" w:rsidR="00A67800" w:rsidRDefault="00ED5C29" w:rsidP="00B34C0F">
      <w:pPr>
        <w:rPr>
          <w:rFonts w:cs="Times New Roman"/>
          <w:sz w:val="28"/>
          <w:szCs w:val="28"/>
        </w:rPr>
        <w:sectPr w:rsidR="00A67800" w:rsidSect="004661DA">
          <w:pgSz w:w="11906" w:h="16838"/>
          <w:pgMar w:top="1440" w:right="1440" w:bottom="1440" w:left="1440" w:header="708" w:footer="708" w:gutter="0"/>
          <w:cols w:space="708"/>
          <w:docGrid w:linePitch="360"/>
        </w:sectPr>
      </w:pPr>
      <w:r>
        <w:rPr>
          <w:rFonts w:cs="Times New Roman"/>
          <w:sz w:val="28"/>
          <w:szCs w:val="28"/>
        </w:rPr>
        <w:t xml:space="preserve">In all the </w:t>
      </w:r>
      <w:r w:rsidR="00FF6498">
        <w:rPr>
          <w:rFonts w:cs="Times New Roman"/>
          <w:sz w:val="28"/>
          <w:szCs w:val="28"/>
        </w:rPr>
        <w:t>three analyses, the volatility of small firms can clearly be depicted.</w:t>
      </w:r>
      <w:r w:rsidR="002008C7">
        <w:rPr>
          <w:rFonts w:cs="Times New Roman"/>
          <w:sz w:val="28"/>
          <w:szCs w:val="28"/>
        </w:rPr>
        <w:t xml:space="preserve"> It is clear that due to a sudden disruption in the economy such as by a pandemic,</w:t>
      </w:r>
      <w:r w:rsidR="00A632C4">
        <w:rPr>
          <w:rFonts w:cs="Times New Roman"/>
          <w:sz w:val="28"/>
          <w:szCs w:val="28"/>
        </w:rPr>
        <w:t xml:space="preserve"> the profit </w:t>
      </w:r>
      <w:r w:rsidR="00532B86">
        <w:rPr>
          <w:rFonts w:cs="Times New Roman"/>
          <w:sz w:val="28"/>
          <w:szCs w:val="28"/>
        </w:rPr>
        <w:t xml:space="preserve">growth of small firms can largely be affected and it is easier for them to engage in lay-offs </w:t>
      </w:r>
      <w:r w:rsidR="00A53C86">
        <w:rPr>
          <w:rFonts w:cs="Times New Roman"/>
          <w:sz w:val="28"/>
          <w:szCs w:val="28"/>
        </w:rPr>
        <w:t>to surviv</w:t>
      </w:r>
      <w:r w:rsidR="00A70D75">
        <w:rPr>
          <w:rFonts w:cs="Times New Roman"/>
          <w:sz w:val="28"/>
          <w:szCs w:val="28"/>
        </w:rPr>
        <w:t>e</w:t>
      </w:r>
      <w:r w:rsidR="00A53C86">
        <w:rPr>
          <w:rFonts w:cs="Times New Roman"/>
          <w:sz w:val="28"/>
          <w:szCs w:val="28"/>
        </w:rPr>
        <w:t xml:space="preserve"> in the market. Also</w:t>
      </w:r>
      <w:r w:rsidR="009D5414">
        <w:rPr>
          <w:rFonts w:cs="Times New Roman"/>
          <w:sz w:val="28"/>
          <w:szCs w:val="28"/>
        </w:rPr>
        <w:t>,</w:t>
      </w:r>
      <w:r w:rsidR="00A53C86">
        <w:rPr>
          <w:rFonts w:cs="Times New Roman"/>
          <w:sz w:val="28"/>
          <w:szCs w:val="28"/>
        </w:rPr>
        <w:t xml:space="preserve"> similar trend can be seen in the case of services exports as </w:t>
      </w:r>
      <w:r w:rsidR="00F74085">
        <w:rPr>
          <w:rFonts w:cs="Times New Roman"/>
          <w:sz w:val="28"/>
          <w:szCs w:val="28"/>
        </w:rPr>
        <w:t>w</w:t>
      </w:r>
      <w:r w:rsidR="00A53C86">
        <w:rPr>
          <w:rFonts w:cs="Times New Roman"/>
          <w:sz w:val="28"/>
          <w:szCs w:val="28"/>
        </w:rPr>
        <w:t>ell.</w:t>
      </w:r>
      <w:r w:rsidR="00F74085">
        <w:rPr>
          <w:rFonts w:cs="Times New Roman"/>
          <w:sz w:val="28"/>
          <w:szCs w:val="28"/>
        </w:rPr>
        <w:t xml:space="preserve"> Still overall view provides the knowledge that, among all the industries in all the sectors, IT sector could revive easily after a d</w:t>
      </w:r>
      <w:r w:rsidR="00A70D75">
        <w:rPr>
          <w:rFonts w:cs="Times New Roman"/>
          <w:sz w:val="28"/>
          <w:szCs w:val="28"/>
        </w:rPr>
        <w:t>isruption in the economy.</w:t>
      </w:r>
      <w:r w:rsidR="00CA1140">
        <w:rPr>
          <w:rFonts w:cs="Times New Roman"/>
          <w:sz w:val="28"/>
          <w:szCs w:val="28"/>
        </w:rPr>
        <w:t xml:space="preserve"> In the case of revival, </w:t>
      </w:r>
      <w:r w:rsidR="00D30A96">
        <w:rPr>
          <w:rFonts w:cs="Times New Roman"/>
          <w:sz w:val="28"/>
          <w:szCs w:val="28"/>
        </w:rPr>
        <w:t>small fi</w:t>
      </w:r>
      <w:r w:rsidR="00A62A01">
        <w:rPr>
          <w:rFonts w:cs="Times New Roman"/>
          <w:sz w:val="28"/>
          <w:szCs w:val="28"/>
        </w:rPr>
        <w:t>r</w:t>
      </w:r>
      <w:r w:rsidR="00D30A96">
        <w:rPr>
          <w:rFonts w:cs="Times New Roman"/>
          <w:sz w:val="28"/>
          <w:szCs w:val="28"/>
        </w:rPr>
        <w:t>ms are at a much higher faster pace compared to their larger counter parts.</w:t>
      </w:r>
      <w:r w:rsidR="00DE717A">
        <w:rPr>
          <w:rFonts w:cs="Times New Roman"/>
          <w:sz w:val="28"/>
          <w:szCs w:val="28"/>
        </w:rPr>
        <w:t xml:space="preserve"> </w:t>
      </w:r>
    </w:p>
    <w:p w14:paraId="01FE5758" w14:textId="4118F74B" w:rsidR="00554167" w:rsidRPr="00224662" w:rsidRDefault="00A67800" w:rsidP="00B34C0F">
      <w:pPr>
        <w:rPr>
          <w:rFonts w:cs="Times New Roman"/>
          <w:b/>
          <w:bCs/>
          <w:sz w:val="28"/>
          <w:szCs w:val="28"/>
        </w:rPr>
      </w:pPr>
      <w:r>
        <w:rPr>
          <w:rFonts w:cs="Times New Roman"/>
          <w:b/>
          <w:bCs/>
          <w:sz w:val="28"/>
          <w:szCs w:val="28"/>
        </w:rPr>
        <w:lastRenderedPageBreak/>
        <w:t>References</w:t>
      </w:r>
    </w:p>
    <w:p w14:paraId="05CF55CD" w14:textId="77777777" w:rsidR="00A67800" w:rsidRPr="000D6845" w:rsidRDefault="00465E93" w:rsidP="000D6845">
      <w:pPr>
        <w:pStyle w:val="References"/>
        <w:rPr>
          <w:sz w:val="26"/>
          <w:szCs w:val="26"/>
        </w:rPr>
      </w:pPr>
      <w:r w:rsidRPr="000D6845">
        <w:rPr>
          <w:sz w:val="26"/>
          <w:szCs w:val="26"/>
        </w:rPr>
        <w:t xml:space="preserve">Singh, Tejinder (2020). </w:t>
      </w:r>
      <w:r w:rsidR="00A67800" w:rsidRPr="000D6845">
        <w:rPr>
          <w:sz w:val="26"/>
          <w:szCs w:val="26"/>
        </w:rPr>
        <w:t>A Study of Impact of Covid-19 on IT Industry in India</w:t>
      </w:r>
      <w:r w:rsidRPr="000D6845">
        <w:rPr>
          <w:sz w:val="26"/>
          <w:szCs w:val="26"/>
        </w:rPr>
        <w:t xml:space="preserve">. </w:t>
      </w:r>
      <w:proofErr w:type="spellStart"/>
      <w:r w:rsidRPr="000D6845">
        <w:rPr>
          <w:sz w:val="26"/>
          <w:szCs w:val="26"/>
        </w:rPr>
        <w:t>PalArch's</w:t>
      </w:r>
      <w:proofErr w:type="spellEnd"/>
      <w:r w:rsidRPr="000D6845">
        <w:rPr>
          <w:sz w:val="26"/>
          <w:szCs w:val="26"/>
        </w:rPr>
        <w:t xml:space="preserve"> Journal of Archaeology of Egypt/ Egyptology. 17. 6269-77.</w:t>
      </w:r>
    </w:p>
    <w:p w14:paraId="198D89D1" w14:textId="3A6D94DB" w:rsidR="00771A38" w:rsidRPr="000D6845" w:rsidRDefault="00412F46" w:rsidP="000D6845">
      <w:pPr>
        <w:pStyle w:val="References"/>
        <w:rPr>
          <w:sz w:val="26"/>
          <w:szCs w:val="26"/>
        </w:rPr>
      </w:pPr>
      <w:proofErr w:type="spellStart"/>
      <w:r w:rsidRPr="000D6845">
        <w:rPr>
          <w:sz w:val="26"/>
          <w:szCs w:val="26"/>
        </w:rPr>
        <w:t>Burja</w:t>
      </w:r>
      <w:proofErr w:type="spellEnd"/>
      <w:r w:rsidRPr="000D6845">
        <w:rPr>
          <w:sz w:val="26"/>
          <w:szCs w:val="26"/>
        </w:rPr>
        <w:t xml:space="preserve">, Camelia. (2011). Factors Influencing </w:t>
      </w:r>
      <w:proofErr w:type="gramStart"/>
      <w:r w:rsidRPr="000D6845">
        <w:rPr>
          <w:sz w:val="26"/>
          <w:szCs w:val="26"/>
        </w:rPr>
        <w:t>The</w:t>
      </w:r>
      <w:proofErr w:type="gramEnd"/>
      <w:r w:rsidRPr="000D6845">
        <w:rPr>
          <w:sz w:val="26"/>
          <w:szCs w:val="26"/>
        </w:rPr>
        <w:t xml:space="preserve"> Companies</w:t>
      </w:r>
      <w:r w:rsidR="00355B68" w:rsidRPr="000D6845">
        <w:rPr>
          <w:sz w:val="26"/>
          <w:szCs w:val="26"/>
        </w:rPr>
        <w:t xml:space="preserve"> </w:t>
      </w:r>
      <w:r w:rsidRPr="000D6845">
        <w:rPr>
          <w:sz w:val="26"/>
          <w:szCs w:val="26"/>
        </w:rPr>
        <w:t xml:space="preserve">‘Profitability. Annales Universitatis </w:t>
      </w:r>
      <w:proofErr w:type="spellStart"/>
      <w:r w:rsidRPr="000D6845">
        <w:rPr>
          <w:sz w:val="26"/>
          <w:szCs w:val="26"/>
        </w:rPr>
        <w:t>Apulensis</w:t>
      </w:r>
      <w:proofErr w:type="spellEnd"/>
      <w:r w:rsidRPr="000D6845">
        <w:rPr>
          <w:sz w:val="26"/>
          <w:szCs w:val="26"/>
        </w:rPr>
        <w:t xml:space="preserve"> Series </w:t>
      </w:r>
      <w:proofErr w:type="spellStart"/>
      <w:r w:rsidRPr="000D6845">
        <w:rPr>
          <w:sz w:val="26"/>
          <w:szCs w:val="26"/>
        </w:rPr>
        <w:t>Oeconomica</w:t>
      </w:r>
      <w:proofErr w:type="spellEnd"/>
      <w:r w:rsidRPr="000D6845">
        <w:rPr>
          <w:sz w:val="26"/>
          <w:szCs w:val="26"/>
        </w:rPr>
        <w:t>. 2. 3-3. 10.29302/oeconomica.2011.13.2.3.</w:t>
      </w:r>
    </w:p>
    <w:p w14:paraId="65ECC767" w14:textId="77777777" w:rsidR="00412F46" w:rsidRPr="000D6845" w:rsidRDefault="00000000" w:rsidP="000D6845">
      <w:pPr>
        <w:pStyle w:val="References"/>
        <w:rPr>
          <w:sz w:val="26"/>
          <w:szCs w:val="26"/>
        </w:rPr>
      </w:pPr>
      <w:hyperlink r:id="rId18" w:tooltip="Manzoor Hassan Malik" w:history="1">
        <w:r w:rsidR="000F021F" w:rsidRPr="000D6845">
          <w:rPr>
            <w:rStyle w:val="Hyperlink"/>
            <w:sz w:val="26"/>
            <w:szCs w:val="26"/>
            <w:u w:val="none"/>
          </w:rPr>
          <w:t>Malik, M.H.</w:t>
        </w:r>
      </w:hyperlink>
      <w:r w:rsidR="000F021F" w:rsidRPr="000D6845">
        <w:rPr>
          <w:sz w:val="26"/>
          <w:szCs w:val="26"/>
        </w:rPr>
        <w:t> and </w:t>
      </w:r>
      <w:hyperlink r:id="rId19" w:tooltip="Nirmala Velan" w:history="1">
        <w:r w:rsidR="000F021F" w:rsidRPr="000D6845">
          <w:rPr>
            <w:rStyle w:val="Hyperlink"/>
            <w:sz w:val="26"/>
            <w:szCs w:val="26"/>
            <w:u w:val="none"/>
          </w:rPr>
          <w:t>Velan, N.</w:t>
        </w:r>
      </w:hyperlink>
      <w:r w:rsidR="000F021F" w:rsidRPr="000D6845">
        <w:rPr>
          <w:sz w:val="26"/>
          <w:szCs w:val="26"/>
        </w:rPr>
        <w:t> (2019), "Software and services export, IT investment and GDP nexus in India: Evidence from VECM framework", </w:t>
      </w:r>
      <w:hyperlink r:id="rId20" w:history="1">
        <w:r w:rsidR="000F021F" w:rsidRPr="000D6845">
          <w:rPr>
            <w:rStyle w:val="Hyperlink"/>
            <w:i/>
            <w:iCs/>
            <w:color w:val="007377"/>
            <w:sz w:val="26"/>
            <w:szCs w:val="26"/>
            <w:u w:val="none"/>
          </w:rPr>
          <w:t>International Trade, Politics and Development</w:t>
        </w:r>
      </w:hyperlink>
      <w:r w:rsidR="000F021F" w:rsidRPr="000D6845">
        <w:rPr>
          <w:sz w:val="26"/>
          <w:szCs w:val="26"/>
        </w:rPr>
        <w:t>, Vol. 3 No. 2, pp. 100-118. </w:t>
      </w:r>
      <w:hyperlink r:id="rId21" w:tooltip="DOI: https://doi.org/10.1108/ITPD-05-2019-0001" w:history="1">
        <w:r w:rsidR="000F021F" w:rsidRPr="000D6845">
          <w:rPr>
            <w:rStyle w:val="Hyperlink"/>
            <w:color w:val="007377"/>
            <w:sz w:val="26"/>
            <w:szCs w:val="26"/>
            <w:u w:val="none"/>
          </w:rPr>
          <w:t>https://doi.org/10.1108/ITPD-05-2019-0001</w:t>
        </w:r>
      </w:hyperlink>
    </w:p>
    <w:p w14:paraId="47AAA843" w14:textId="70D29640" w:rsidR="002665F1" w:rsidRPr="000D6845" w:rsidRDefault="00A85789" w:rsidP="000D6845">
      <w:pPr>
        <w:pStyle w:val="References"/>
        <w:rPr>
          <w:sz w:val="26"/>
          <w:szCs w:val="26"/>
        </w:rPr>
      </w:pPr>
      <w:proofErr w:type="spellStart"/>
      <w:r w:rsidRPr="000D6845">
        <w:rPr>
          <w:sz w:val="26"/>
          <w:szCs w:val="26"/>
        </w:rPr>
        <w:t>Heeks</w:t>
      </w:r>
      <w:proofErr w:type="spellEnd"/>
      <w:r w:rsidRPr="000D6845">
        <w:rPr>
          <w:sz w:val="26"/>
          <w:szCs w:val="26"/>
        </w:rPr>
        <w:t>, Richard and Nicholson, Brian, Software Export Success Factors and Strategies in Developing and Transitional Economies (October 30, 2002). Development Informatics Working Paper no. 12,</w:t>
      </w:r>
      <w:r w:rsidR="009D5414" w:rsidRPr="000D6845">
        <w:rPr>
          <w:sz w:val="26"/>
          <w:szCs w:val="26"/>
        </w:rPr>
        <w:t xml:space="preserve"> </w:t>
      </w:r>
    </w:p>
    <w:p w14:paraId="7905F71E" w14:textId="478989A8" w:rsidR="00A85789" w:rsidRPr="000D6845" w:rsidRDefault="00A01043" w:rsidP="000D6845">
      <w:pPr>
        <w:pStyle w:val="References"/>
        <w:rPr>
          <w:sz w:val="26"/>
          <w:szCs w:val="26"/>
        </w:rPr>
      </w:pPr>
      <w:proofErr w:type="spellStart"/>
      <w:r w:rsidRPr="000D6845">
        <w:rPr>
          <w:sz w:val="26"/>
          <w:szCs w:val="26"/>
        </w:rPr>
        <w:t>Veeramani</w:t>
      </w:r>
      <w:proofErr w:type="spellEnd"/>
      <w:r w:rsidRPr="000D6845">
        <w:rPr>
          <w:sz w:val="26"/>
          <w:szCs w:val="26"/>
        </w:rPr>
        <w:t xml:space="preserve">, S., &amp; Anam. (2021). COVID-19 Impact on Exports of Services: Opportunities, Challenges and Suggestions for India. FIIB Business Review, 10(4), 315–326. </w:t>
      </w:r>
      <w:hyperlink r:id="rId22" w:history="1">
        <w:r w:rsidR="0033561D" w:rsidRPr="000D6845">
          <w:rPr>
            <w:rStyle w:val="Hyperlink"/>
            <w:sz w:val="26"/>
            <w:szCs w:val="26"/>
          </w:rPr>
          <w:t>https://doi.org/10.1177/2319714520984676</w:t>
        </w:r>
      </w:hyperlink>
    </w:p>
    <w:p w14:paraId="7E08D248" w14:textId="758DF931" w:rsidR="0033561D" w:rsidRPr="000D6845" w:rsidRDefault="0033561D" w:rsidP="000D6845">
      <w:pPr>
        <w:pStyle w:val="References"/>
        <w:rPr>
          <w:sz w:val="26"/>
          <w:szCs w:val="26"/>
        </w:rPr>
      </w:pPr>
      <w:r w:rsidRPr="000D6845">
        <w:rPr>
          <w:sz w:val="26"/>
          <w:szCs w:val="26"/>
        </w:rPr>
        <w:t>Lai, Yanqing, et al. "Are Small Firm Employment Responses Different from Large Firms in Times of Recession." Journal of Business Venturing 31.1 (2016): 113-131.</w:t>
      </w:r>
    </w:p>
    <w:p w14:paraId="205B93A3" w14:textId="57D3F4D2" w:rsidR="00EA23FB" w:rsidRPr="000D6845" w:rsidRDefault="00EA23FB" w:rsidP="000D6845">
      <w:pPr>
        <w:pStyle w:val="References"/>
        <w:rPr>
          <w:sz w:val="26"/>
          <w:szCs w:val="26"/>
          <w:lang w:eastAsia="en-IN"/>
        </w:rPr>
      </w:pPr>
      <w:r w:rsidRPr="000D6845">
        <w:rPr>
          <w:sz w:val="26"/>
          <w:szCs w:val="26"/>
          <w:lang w:eastAsia="en-IN"/>
        </w:rPr>
        <w:t xml:space="preserve">Daniels, P. W. “Export of Services or Servicing Exports?” </w:t>
      </w:r>
      <w:proofErr w:type="spellStart"/>
      <w:r w:rsidRPr="000D6845">
        <w:rPr>
          <w:i/>
          <w:iCs/>
          <w:sz w:val="26"/>
          <w:szCs w:val="26"/>
          <w:lang w:eastAsia="en-IN"/>
        </w:rPr>
        <w:t>Geografiska</w:t>
      </w:r>
      <w:proofErr w:type="spellEnd"/>
      <w:r w:rsidRPr="000D6845">
        <w:rPr>
          <w:i/>
          <w:iCs/>
          <w:sz w:val="26"/>
          <w:szCs w:val="26"/>
          <w:lang w:eastAsia="en-IN"/>
        </w:rPr>
        <w:t xml:space="preserve"> </w:t>
      </w:r>
      <w:proofErr w:type="spellStart"/>
      <w:r w:rsidRPr="000D6845">
        <w:rPr>
          <w:i/>
          <w:iCs/>
          <w:sz w:val="26"/>
          <w:szCs w:val="26"/>
          <w:lang w:eastAsia="en-IN"/>
        </w:rPr>
        <w:t>Annaler</w:t>
      </w:r>
      <w:proofErr w:type="spellEnd"/>
      <w:r w:rsidRPr="000D6845">
        <w:rPr>
          <w:i/>
          <w:iCs/>
          <w:sz w:val="26"/>
          <w:szCs w:val="26"/>
          <w:lang w:eastAsia="en-IN"/>
        </w:rPr>
        <w:t>. Series B, Human Geography</w:t>
      </w:r>
      <w:r w:rsidRPr="000D6845">
        <w:rPr>
          <w:sz w:val="26"/>
          <w:szCs w:val="26"/>
          <w:lang w:eastAsia="en-IN"/>
        </w:rPr>
        <w:t xml:space="preserve">, vol. 82, no. 1, 2000, pp. 1–15. </w:t>
      </w:r>
      <w:r w:rsidRPr="000D6845">
        <w:rPr>
          <w:i/>
          <w:iCs/>
          <w:sz w:val="26"/>
          <w:szCs w:val="26"/>
          <w:lang w:eastAsia="en-IN"/>
        </w:rPr>
        <w:t>JSTOR</w:t>
      </w:r>
      <w:r w:rsidRPr="000D6845">
        <w:rPr>
          <w:sz w:val="26"/>
          <w:szCs w:val="26"/>
          <w:lang w:eastAsia="en-IN"/>
        </w:rPr>
        <w:t xml:space="preserve">, </w:t>
      </w:r>
      <w:hyperlink r:id="rId23" w:history="1">
        <w:r w:rsidRPr="000D6845">
          <w:rPr>
            <w:rStyle w:val="Hyperlink"/>
            <w:sz w:val="26"/>
            <w:szCs w:val="26"/>
            <w:lang w:eastAsia="en-IN"/>
          </w:rPr>
          <w:t>http://www.jstor.org/stable/491033. Accessed 26 July 2023</w:t>
        </w:r>
      </w:hyperlink>
      <w:r w:rsidRPr="000D6845">
        <w:rPr>
          <w:sz w:val="26"/>
          <w:szCs w:val="26"/>
          <w:lang w:eastAsia="en-IN"/>
        </w:rPr>
        <w:t>.</w:t>
      </w:r>
    </w:p>
    <w:p w14:paraId="4B4434F0" w14:textId="383BDD76" w:rsidR="00EA23FB" w:rsidRPr="000D6845" w:rsidRDefault="00EA23FB" w:rsidP="000D6845">
      <w:pPr>
        <w:pStyle w:val="References"/>
        <w:rPr>
          <w:sz w:val="26"/>
          <w:szCs w:val="26"/>
        </w:rPr>
      </w:pPr>
      <w:r w:rsidRPr="000D6845">
        <w:rPr>
          <w:sz w:val="26"/>
          <w:szCs w:val="26"/>
        </w:rPr>
        <w:t xml:space="preserve">Valeria </w:t>
      </w:r>
      <w:proofErr w:type="spellStart"/>
      <w:r w:rsidRPr="000D6845">
        <w:rPr>
          <w:sz w:val="26"/>
          <w:szCs w:val="26"/>
        </w:rPr>
        <w:t>Nyu</w:t>
      </w:r>
      <w:proofErr w:type="spellEnd"/>
      <w:r w:rsidRPr="000D6845">
        <w:rPr>
          <w:sz w:val="26"/>
          <w:szCs w:val="26"/>
        </w:rPr>
        <w:t xml:space="preserve"> &amp; </w:t>
      </w:r>
      <w:proofErr w:type="spellStart"/>
      <w:r w:rsidRPr="000D6845">
        <w:rPr>
          <w:sz w:val="26"/>
          <w:szCs w:val="26"/>
        </w:rPr>
        <w:t>Frode</w:t>
      </w:r>
      <w:proofErr w:type="spellEnd"/>
      <w:r w:rsidRPr="000D6845">
        <w:rPr>
          <w:sz w:val="26"/>
          <w:szCs w:val="26"/>
        </w:rPr>
        <w:t xml:space="preserve"> </w:t>
      </w:r>
      <w:proofErr w:type="spellStart"/>
      <w:r w:rsidRPr="000D6845">
        <w:rPr>
          <w:sz w:val="26"/>
          <w:szCs w:val="26"/>
        </w:rPr>
        <w:t>Nilssen</w:t>
      </w:r>
      <w:proofErr w:type="spellEnd"/>
      <w:r w:rsidRPr="000D6845">
        <w:rPr>
          <w:sz w:val="26"/>
          <w:szCs w:val="26"/>
        </w:rPr>
        <w:t xml:space="preserve"> &amp; Oleg </w:t>
      </w:r>
      <w:proofErr w:type="spellStart"/>
      <w:r w:rsidRPr="000D6845">
        <w:rPr>
          <w:sz w:val="26"/>
          <w:szCs w:val="26"/>
        </w:rPr>
        <w:t>Nenadic</w:t>
      </w:r>
      <w:proofErr w:type="spellEnd"/>
      <w:r w:rsidRPr="000D6845">
        <w:rPr>
          <w:sz w:val="26"/>
          <w:szCs w:val="26"/>
        </w:rPr>
        <w:t>, 2022. ," </w:t>
      </w:r>
      <w:hyperlink r:id="rId24" w:history="1">
        <w:r w:rsidRPr="000D6845">
          <w:rPr>
            <w:rStyle w:val="Hyperlink"/>
            <w:color w:val="2D4E8B"/>
            <w:sz w:val="26"/>
            <w:szCs w:val="26"/>
            <w:u w:val="none"/>
          </w:rPr>
          <w:t>International Journal of Export Marketing</w:t>
        </w:r>
      </w:hyperlink>
      <w:r w:rsidRPr="000D6845">
        <w:rPr>
          <w:sz w:val="26"/>
          <w:szCs w:val="26"/>
        </w:rPr>
        <w:t xml:space="preserve">, </w:t>
      </w:r>
      <w:proofErr w:type="spellStart"/>
      <w:r w:rsidRPr="000D6845">
        <w:rPr>
          <w:sz w:val="26"/>
          <w:szCs w:val="26"/>
        </w:rPr>
        <w:t>Inderscience</w:t>
      </w:r>
      <w:proofErr w:type="spellEnd"/>
      <w:r w:rsidRPr="000D6845">
        <w:rPr>
          <w:sz w:val="26"/>
          <w:szCs w:val="26"/>
        </w:rPr>
        <w:t xml:space="preserve"> Enterprises Ltd, vol. 5(1), pages 73-102.</w:t>
      </w:r>
    </w:p>
    <w:p w14:paraId="52AB8AB0" w14:textId="59783FB3" w:rsidR="00EA23FB" w:rsidRPr="000D6845" w:rsidRDefault="00EA23FB" w:rsidP="000D6845">
      <w:pPr>
        <w:pStyle w:val="References"/>
        <w:rPr>
          <w:sz w:val="26"/>
          <w:szCs w:val="26"/>
        </w:rPr>
      </w:pPr>
      <w:proofErr w:type="spellStart"/>
      <w:r w:rsidRPr="000D6845">
        <w:rPr>
          <w:sz w:val="26"/>
          <w:szCs w:val="26"/>
        </w:rPr>
        <w:t>Saara</w:t>
      </w:r>
      <w:proofErr w:type="spellEnd"/>
      <w:r w:rsidRPr="000D6845">
        <w:rPr>
          <w:sz w:val="26"/>
          <w:szCs w:val="26"/>
        </w:rPr>
        <w:t xml:space="preserve"> </w:t>
      </w:r>
      <w:proofErr w:type="spellStart"/>
      <w:r w:rsidRPr="000D6845">
        <w:rPr>
          <w:sz w:val="26"/>
          <w:szCs w:val="26"/>
        </w:rPr>
        <w:t>Julkunen</w:t>
      </w:r>
      <w:proofErr w:type="spellEnd"/>
      <w:r w:rsidRPr="000D6845">
        <w:rPr>
          <w:sz w:val="26"/>
          <w:szCs w:val="26"/>
        </w:rPr>
        <w:t xml:space="preserve"> &amp; Markus </w:t>
      </w:r>
      <w:proofErr w:type="spellStart"/>
      <w:r w:rsidRPr="000D6845">
        <w:rPr>
          <w:sz w:val="26"/>
          <w:szCs w:val="26"/>
        </w:rPr>
        <w:t>Mättö</w:t>
      </w:r>
      <w:proofErr w:type="spellEnd"/>
      <w:r w:rsidRPr="000D6845">
        <w:rPr>
          <w:sz w:val="26"/>
          <w:szCs w:val="26"/>
        </w:rPr>
        <w:t xml:space="preserve"> &amp; </w:t>
      </w:r>
      <w:proofErr w:type="spellStart"/>
      <w:r w:rsidRPr="000D6845">
        <w:rPr>
          <w:sz w:val="26"/>
          <w:szCs w:val="26"/>
        </w:rPr>
        <w:t>Mervi</w:t>
      </w:r>
      <w:proofErr w:type="spellEnd"/>
      <w:r w:rsidRPr="000D6845">
        <w:rPr>
          <w:sz w:val="26"/>
          <w:szCs w:val="26"/>
        </w:rPr>
        <w:t xml:space="preserve"> </w:t>
      </w:r>
      <w:proofErr w:type="spellStart"/>
      <w:r w:rsidRPr="000D6845">
        <w:rPr>
          <w:sz w:val="26"/>
          <w:szCs w:val="26"/>
        </w:rPr>
        <w:t>Niskanen</w:t>
      </w:r>
      <w:proofErr w:type="spellEnd"/>
      <w:r w:rsidRPr="000D6845">
        <w:rPr>
          <w:sz w:val="26"/>
          <w:szCs w:val="26"/>
        </w:rPr>
        <w:t xml:space="preserve"> &amp; Max </w:t>
      </w:r>
      <w:proofErr w:type="spellStart"/>
      <w:r w:rsidRPr="000D6845">
        <w:rPr>
          <w:sz w:val="26"/>
          <w:szCs w:val="26"/>
        </w:rPr>
        <w:t>Niskanen</w:t>
      </w:r>
      <w:proofErr w:type="spellEnd"/>
      <w:r w:rsidRPr="000D6845">
        <w:rPr>
          <w:sz w:val="26"/>
          <w:szCs w:val="26"/>
        </w:rPr>
        <w:t>, 2021.  </w:t>
      </w:r>
      <w:hyperlink r:id="rId25" w:history="1">
        <w:r w:rsidRPr="000D6845">
          <w:rPr>
            <w:rStyle w:val="Hyperlink"/>
            <w:color w:val="222222"/>
            <w:sz w:val="26"/>
            <w:szCs w:val="26"/>
            <w:u w:val="none"/>
          </w:rPr>
          <w:t>International Journal of Export Marketing</w:t>
        </w:r>
      </w:hyperlink>
      <w:r w:rsidRPr="000D6845">
        <w:rPr>
          <w:sz w:val="26"/>
          <w:szCs w:val="26"/>
        </w:rPr>
        <w:t xml:space="preserve">, </w:t>
      </w:r>
      <w:proofErr w:type="spellStart"/>
      <w:r w:rsidRPr="000D6845">
        <w:rPr>
          <w:sz w:val="26"/>
          <w:szCs w:val="26"/>
        </w:rPr>
        <w:t>Inderscience</w:t>
      </w:r>
      <w:proofErr w:type="spellEnd"/>
      <w:r w:rsidRPr="000D6845">
        <w:rPr>
          <w:sz w:val="26"/>
          <w:szCs w:val="26"/>
        </w:rPr>
        <w:t xml:space="preserve"> Enterprises Ltd, vol. 4(3), pages 306-323.</w:t>
      </w:r>
    </w:p>
    <w:p w14:paraId="2B5C45F6" w14:textId="4DB847AF" w:rsidR="00355B68" w:rsidRPr="000D6845" w:rsidRDefault="00355B68" w:rsidP="000D6845">
      <w:pPr>
        <w:pStyle w:val="References"/>
        <w:rPr>
          <w:sz w:val="26"/>
          <w:szCs w:val="26"/>
        </w:rPr>
      </w:pPr>
      <w:r w:rsidRPr="000D6845">
        <w:rPr>
          <w:sz w:val="26"/>
          <w:szCs w:val="26"/>
        </w:rPr>
        <w:t xml:space="preserve">Lyons, M.S. The economic impact of COVID-19 on the creative industries: a sub-regional input–output approach. Lett Spat </w:t>
      </w:r>
      <w:proofErr w:type="spellStart"/>
      <w:r w:rsidRPr="000D6845">
        <w:rPr>
          <w:sz w:val="26"/>
          <w:szCs w:val="26"/>
        </w:rPr>
        <w:t>Resour</w:t>
      </w:r>
      <w:proofErr w:type="spellEnd"/>
      <w:r w:rsidRPr="000D6845">
        <w:rPr>
          <w:sz w:val="26"/>
          <w:szCs w:val="26"/>
        </w:rPr>
        <w:t xml:space="preserve"> Sci 16, 4 (2023). </w:t>
      </w:r>
      <w:hyperlink r:id="rId26" w:history="1">
        <w:r w:rsidR="00BF7A70" w:rsidRPr="000D6845">
          <w:rPr>
            <w:rStyle w:val="Hyperlink"/>
            <w:sz w:val="26"/>
            <w:szCs w:val="26"/>
          </w:rPr>
          <w:t>https://doi.org/10.1007/s12076-023-00329-9</w:t>
        </w:r>
      </w:hyperlink>
    </w:p>
    <w:p w14:paraId="21A5DAB2" w14:textId="5D687270" w:rsidR="00BF7A70" w:rsidRPr="000D6845" w:rsidRDefault="00BF7A70" w:rsidP="000D6845">
      <w:pPr>
        <w:pStyle w:val="References"/>
        <w:rPr>
          <w:sz w:val="26"/>
          <w:szCs w:val="26"/>
        </w:rPr>
      </w:pPr>
      <w:r w:rsidRPr="000D6845">
        <w:rPr>
          <w:rStyle w:val="Strong"/>
          <w:color w:val="202020"/>
          <w:sz w:val="26"/>
          <w:szCs w:val="26"/>
        </w:rPr>
        <w:t> </w:t>
      </w:r>
      <w:r w:rsidRPr="000D6845">
        <w:rPr>
          <w:sz w:val="26"/>
          <w:szCs w:val="26"/>
        </w:rPr>
        <w:t xml:space="preserve">Gupta R, Hasan MM, Islam SZ, Yasmin T, Uddin J (2023) Evaluating the Brexit and COVID-19’s influence on the UK economy: A data analysis. </w:t>
      </w:r>
      <w:proofErr w:type="spellStart"/>
      <w:r w:rsidRPr="000D6845">
        <w:rPr>
          <w:sz w:val="26"/>
          <w:szCs w:val="26"/>
        </w:rPr>
        <w:t>PLoS</w:t>
      </w:r>
      <w:proofErr w:type="spellEnd"/>
      <w:r w:rsidRPr="000D6845">
        <w:rPr>
          <w:sz w:val="26"/>
          <w:szCs w:val="26"/>
        </w:rPr>
        <w:t xml:space="preserve"> ONE 18(6): e0287342. </w:t>
      </w:r>
      <w:hyperlink r:id="rId27" w:history="1">
        <w:r w:rsidR="000D6845" w:rsidRPr="000D6845">
          <w:rPr>
            <w:rStyle w:val="Hyperlink"/>
            <w:sz w:val="26"/>
            <w:szCs w:val="26"/>
          </w:rPr>
          <w:t>https://doi.org/10.1371/journal.pone.0287342</w:t>
        </w:r>
      </w:hyperlink>
    </w:p>
    <w:p w14:paraId="22F0E224" w14:textId="2096D6DE" w:rsidR="000D6845" w:rsidRDefault="000D6845" w:rsidP="000D6845">
      <w:pPr>
        <w:pStyle w:val="References"/>
        <w:rPr>
          <w:sz w:val="26"/>
          <w:szCs w:val="26"/>
        </w:rPr>
      </w:pPr>
      <w:r w:rsidRPr="000D6845">
        <w:rPr>
          <w:sz w:val="26"/>
          <w:szCs w:val="26"/>
        </w:rPr>
        <w:t xml:space="preserve">Arora, Ashish, and Suma </w:t>
      </w:r>
      <w:proofErr w:type="spellStart"/>
      <w:r w:rsidRPr="000D6845">
        <w:rPr>
          <w:sz w:val="26"/>
          <w:szCs w:val="26"/>
        </w:rPr>
        <w:t>Athreye</w:t>
      </w:r>
      <w:proofErr w:type="spellEnd"/>
      <w:r w:rsidRPr="000D6845">
        <w:rPr>
          <w:sz w:val="26"/>
          <w:szCs w:val="26"/>
        </w:rPr>
        <w:t>. "The software industry and India’s economic development." </w:t>
      </w:r>
      <w:r w:rsidRPr="000D6845">
        <w:rPr>
          <w:i/>
          <w:iCs/>
          <w:sz w:val="26"/>
          <w:szCs w:val="26"/>
        </w:rPr>
        <w:t>Information economics and policy</w:t>
      </w:r>
      <w:r w:rsidRPr="000D6845">
        <w:rPr>
          <w:sz w:val="26"/>
          <w:szCs w:val="26"/>
        </w:rPr>
        <w:t> 14.2 (2002): 253-273.</w:t>
      </w:r>
    </w:p>
    <w:p w14:paraId="1EAB6D21" w14:textId="303D9342" w:rsidR="000D6845" w:rsidRPr="000D6845" w:rsidRDefault="000D6845" w:rsidP="000D6845">
      <w:pPr>
        <w:pStyle w:val="References"/>
        <w:rPr>
          <w:sz w:val="26"/>
          <w:szCs w:val="26"/>
        </w:rPr>
      </w:pPr>
      <w:r w:rsidRPr="000D6845">
        <w:rPr>
          <w:sz w:val="26"/>
          <w:szCs w:val="26"/>
        </w:rPr>
        <w:t xml:space="preserve">Byrne, David M., and Carol A. Corrado. "ICT Asset Prices: </w:t>
      </w:r>
      <w:proofErr w:type="spellStart"/>
      <w:r w:rsidRPr="000D6845">
        <w:rPr>
          <w:sz w:val="26"/>
          <w:szCs w:val="26"/>
        </w:rPr>
        <w:t>marshaling</w:t>
      </w:r>
      <w:proofErr w:type="spellEnd"/>
      <w:r w:rsidRPr="000D6845">
        <w:rPr>
          <w:sz w:val="26"/>
          <w:szCs w:val="26"/>
        </w:rPr>
        <w:t xml:space="preserve"> evidence into new measures." (2017).</w:t>
      </w:r>
    </w:p>
    <w:p w14:paraId="4BC52BB5" w14:textId="50B77DEB" w:rsidR="000D6845" w:rsidRDefault="000D6845" w:rsidP="000D6845">
      <w:pPr>
        <w:pStyle w:val="References"/>
        <w:rPr>
          <w:rFonts w:ascii="Arial" w:hAnsi="Arial" w:cs="Arial"/>
        </w:rPr>
      </w:pPr>
      <w:r w:rsidRPr="000D6845">
        <w:rPr>
          <w:sz w:val="26"/>
          <w:szCs w:val="26"/>
        </w:rPr>
        <w:lastRenderedPageBreak/>
        <w:t xml:space="preserve">Bresnahan, Timothy F., Erik Brynjolfsson, and Lorin M. Hitt. "Information technology, workplace organization, and the demand for skilled </w:t>
      </w:r>
      <w:proofErr w:type="spellStart"/>
      <w:r w:rsidRPr="000D6845">
        <w:rPr>
          <w:sz w:val="26"/>
          <w:szCs w:val="26"/>
        </w:rPr>
        <w:t>labor</w:t>
      </w:r>
      <w:proofErr w:type="spellEnd"/>
      <w:r w:rsidRPr="000D6845">
        <w:rPr>
          <w:sz w:val="26"/>
          <w:szCs w:val="26"/>
        </w:rPr>
        <w:t>: Firm-level evidence." </w:t>
      </w:r>
      <w:r w:rsidRPr="000D6845">
        <w:rPr>
          <w:i/>
          <w:iCs/>
          <w:sz w:val="26"/>
          <w:szCs w:val="26"/>
        </w:rPr>
        <w:t>The quarterly journal of economics</w:t>
      </w:r>
      <w:r w:rsidRPr="000D6845">
        <w:rPr>
          <w:sz w:val="26"/>
          <w:szCs w:val="26"/>
        </w:rPr>
        <w:t> 117.1 (2002): 339-376</w:t>
      </w:r>
      <w:r>
        <w:rPr>
          <w:rFonts w:ascii="Arial" w:hAnsi="Arial" w:cs="Arial"/>
        </w:rPr>
        <w:t>.</w:t>
      </w:r>
    </w:p>
    <w:p w14:paraId="528C5F05" w14:textId="0038C1D0" w:rsidR="000D6845" w:rsidRPr="000D6845" w:rsidRDefault="000D6845" w:rsidP="000D6845">
      <w:pPr>
        <w:pStyle w:val="References"/>
        <w:rPr>
          <w:sz w:val="26"/>
          <w:szCs w:val="26"/>
        </w:rPr>
      </w:pPr>
      <w:r w:rsidRPr="000D6845">
        <w:rPr>
          <w:sz w:val="26"/>
          <w:szCs w:val="26"/>
        </w:rPr>
        <w:t xml:space="preserve">Commander, Simon, Rupert Harrison, and </w:t>
      </w:r>
      <w:proofErr w:type="spellStart"/>
      <w:r w:rsidRPr="000D6845">
        <w:rPr>
          <w:sz w:val="26"/>
          <w:szCs w:val="26"/>
        </w:rPr>
        <w:t>Naercio</w:t>
      </w:r>
      <w:proofErr w:type="spellEnd"/>
      <w:r w:rsidRPr="000D6845">
        <w:rPr>
          <w:sz w:val="26"/>
          <w:szCs w:val="26"/>
        </w:rPr>
        <w:t xml:space="preserve"> Menezes-Filho. "ICT and productivity in developing countries: New firm-level evidence from Brazil and India." </w:t>
      </w:r>
      <w:r w:rsidRPr="000D6845">
        <w:rPr>
          <w:i/>
          <w:iCs/>
          <w:sz w:val="26"/>
          <w:szCs w:val="26"/>
        </w:rPr>
        <w:t>Review of Economics and Statistics</w:t>
      </w:r>
      <w:r w:rsidRPr="000D6845">
        <w:rPr>
          <w:sz w:val="26"/>
          <w:szCs w:val="26"/>
        </w:rPr>
        <w:t> 93.2 (2011): 528-541</w:t>
      </w:r>
      <w:r>
        <w:rPr>
          <w:rFonts w:ascii="Arial" w:hAnsi="Arial" w:cs="Arial"/>
        </w:rPr>
        <w:t>.</w:t>
      </w:r>
    </w:p>
    <w:p w14:paraId="74E61F80" w14:textId="77777777" w:rsidR="0007685C" w:rsidRPr="000D6845" w:rsidRDefault="0007685C" w:rsidP="00B35B50">
      <w:pPr>
        <w:rPr>
          <w:rFonts w:cs="Times New Roman"/>
          <w:sz w:val="26"/>
          <w:szCs w:val="26"/>
        </w:rPr>
      </w:pPr>
    </w:p>
    <w:p w14:paraId="3B535707" w14:textId="77777777" w:rsidR="0007685C" w:rsidRPr="00BD32C3" w:rsidRDefault="0007685C" w:rsidP="000D6845">
      <w:pPr>
        <w:pStyle w:val="References"/>
      </w:pPr>
    </w:p>
    <w:p w14:paraId="073E862E" w14:textId="77777777" w:rsidR="0007685C" w:rsidRPr="00BD32C3" w:rsidRDefault="0007685C" w:rsidP="0098462F">
      <w:pPr>
        <w:pStyle w:val="ListParagraph"/>
        <w:ind w:left="504"/>
        <w:rPr>
          <w:rFonts w:cs="Times New Roman"/>
        </w:rPr>
      </w:pPr>
    </w:p>
    <w:p w14:paraId="04AE5600" w14:textId="77777777" w:rsidR="0007685C" w:rsidRPr="00BD32C3" w:rsidRDefault="0007685C" w:rsidP="0098462F">
      <w:pPr>
        <w:pStyle w:val="ListParagraph"/>
        <w:ind w:left="504"/>
        <w:rPr>
          <w:rFonts w:cs="Times New Roman"/>
        </w:rPr>
      </w:pPr>
    </w:p>
    <w:p w14:paraId="2F25F5D3" w14:textId="77777777" w:rsidR="0007685C" w:rsidRPr="00654F68" w:rsidRDefault="0007685C" w:rsidP="00654F68">
      <w:pPr>
        <w:rPr>
          <w:rFonts w:cs="Times New Roman"/>
        </w:rPr>
      </w:pPr>
    </w:p>
    <w:p w14:paraId="5E545F7D" w14:textId="77777777" w:rsidR="0007685C" w:rsidRPr="00BD32C3" w:rsidRDefault="0007685C" w:rsidP="0098462F">
      <w:pPr>
        <w:pStyle w:val="ListParagraph"/>
        <w:ind w:left="504"/>
        <w:rPr>
          <w:rFonts w:cs="Times New Roman"/>
        </w:rPr>
      </w:pPr>
    </w:p>
    <w:p w14:paraId="65E03552" w14:textId="77777777" w:rsidR="0007685C" w:rsidRPr="00BD32C3" w:rsidRDefault="0007685C" w:rsidP="0098462F">
      <w:pPr>
        <w:pStyle w:val="ListParagraph"/>
        <w:ind w:left="504"/>
        <w:rPr>
          <w:rFonts w:cs="Times New Roman"/>
        </w:rPr>
      </w:pPr>
    </w:p>
    <w:p w14:paraId="656A6EBE" w14:textId="77777777" w:rsidR="0007685C" w:rsidRPr="00BD32C3" w:rsidRDefault="0007685C" w:rsidP="0098462F">
      <w:pPr>
        <w:pStyle w:val="ListParagraph"/>
        <w:ind w:left="504"/>
        <w:rPr>
          <w:rFonts w:cs="Times New Roman"/>
        </w:rPr>
      </w:pPr>
    </w:p>
    <w:p w14:paraId="3F2754B4" w14:textId="77777777" w:rsidR="0007685C" w:rsidRPr="00BD32C3" w:rsidRDefault="0007685C" w:rsidP="0098462F">
      <w:pPr>
        <w:pStyle w:val="ListParagraph"/>
        <w:ind w:left="504"/>
        <w:rPr>
          <w:rFonts w:cs="Times New Roman"/>
        </w:rPr>
      </w:pPr>
    </w:p>
    <w:p w14:paraId="62E94386" w14:textId="77777777" w:rsidR="0007685C" w:rsidRPr="00BD32C3" w:rsidRDefault="0007685C" w:rsidP="0098462F">
      <w:pPr>
        <w:pStyle w:val="ListParagraph"/>
        <w:ind w:left="504"/>
        <w:rPr>
          <w:rFonts w:cs="Times New Roman"/>
        </w:rPr>
      </w:pPr>
    </w:p>
    <w:p w14:paraId="29D0461F" w14:textId="77777777" w:rsidR="0007685C" w:rsidRPr="00BD32C3" w:rsidRDefault="0007685C" w:rsidP="0098462F">
      <w:pPr>
        <w:pStyle w:val="ListParagraph"/>
        <w:ind w:left="504"/>
        <w:rPr>
          <w:rFonts w:cs="Times New Roman"/>
        </w:rPr>
      </w:pPr>
    </w:p>
    <w:p w14:paraId="361ECFF4" w14:textId="77777777" w:rsidR="0007685C" w:rsidRPr="00BD32C3" w:rsidRDefault="0007685C" w:rsidP="0098462F">
      <w:pPr>
        <w:pStyle w:val="ListParagraph"/>
        <w:ind w:left="504"/>
        <w:rPr>
          <w:rFonts w:cs="Times New Roman"/>
        </w:rPr>
      </w:pPr>
    </w:p>
    <w:p w14:paraId="571CA26D" w14:textId="77777777" w:rsidR="0007685C" w:rsidRPr="00BD32C3" w:rsidRDefault="0007685C" w:rsidP="0098462F">
      <w:pPr>
        <w:pStyle w:val="ListParagraph"/>
        <w:ind w:left="504"/>
        <w:rPr>
          <w:rFonts w:cs="Times New Roman"/>
        </w:rPr>
      </w:pPr>
    </w:p>
    <w:p w14:paraId="009000D3" w14:textId="77777777" w:rsidR="0007685C" w:rsidRPr="00BD32C3" w:rsidRDefault="0007685C" w:rsidP="0098462F">
      <w:pPr>
        <w:pStyle w:val="ListParagraph"/>
        <w:ind w:left="504"/>
        <w:rPr>
          <w:rFonts w:cs="Times New Roman"/>
        </w:rPr>
      </w:pPr>
    </w:p>
    <w:p w14:paraId="2F7C4E3C" w14:textId="77777777" w:rsidR="0007685C" w:rsidRPr="00BD32C3" w:rsidRDefault="0007685C" w:rsidP="0098462F">
      <w:pPr>
        <w:pStyle w:val="ListParagraph"/>
        <w:ind w:left="504"/>
        <w:rPr>
          <w:rFonts w:cs="Times New Roman"/>
        </w:rPr>
      </w:pPr>
    </w:p>
    <w:p w14:paraId="4ED21463" w14:textId="77777777" w:rsidR="0098462F" w:rsidRPr="00BD32C3" w:rsidRDefault="0098462F" w:rsidP="0098462F">
      <w:pPr>
        <w:pStyle w:val="ListParagraph"/>
        <w:ind w:left="504"/>
        <w:rPr>
          <w:rFonts w:cs="Times New Roman"/>
        </w:rPr>
      </w:pPr>
    </w:p>
    <w:sectPr w:rsidR="0098462F" w:rsidRPr="00BD32C3" w:rsidSect="00466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612C" w14:textId="77777777" w:rsidR="008D5B1F" w:rsidRDefault="008D5B1F" w:rsidP="0007685C">
      <w:pPr>
        <w:spacing w:after="0" w:line="240" w:lineRule="auto"/>
      </w:pPr>
      <w:r>
        <w:separator/>
      </w:r>
    </w:p>
  </w:endnote>
  <w:endnote w:type="continuationSeparator" w:id="0">
    <w:p w14:paraId="343C4F5D" w14:textId="77777777" w:rsidR="008D5B1F" w:rsidRDefault="008D5B1F" w:rsidP="0007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9E0" w14:textId="77777777" w:rsidR="000C0172" w:rsidRDefault="000C0172" w:rsidP="0097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C5E4" w14:textId="77777777" w:rsidR="008D5B1F" w:rsidRDefault="008D5B1F" w:rsidP="0007685C">
      <w:pPr>
        <w:spacing w:after="0" w:line="240" w:lineRule="auto"/>
      </w:pPr>
      <w:r>
        <w:separator/>
      </w:r>
    </w:p>
  </w:footnote>
  <w:footnote w:type="continuationSeparator" w:id="0">
    <w:p w14:paraId="454CE7CD" w14:textId="77777777" w:rsidR="008D5B1F" w:rsidRDefault="008D5B1F" w:rsidP="0007685C">
      <w:pPr>
        <w:spacing w:after="0" w:line="240" w:lineRule="auto"/>
      </w:pPr>
      <w:r>
        <w:continuationSeparator/>
      </w:r>
    </w:p>
  </w:footnote>
  <w:footnote w:id="1">
    <w:p w14:paraId="4443BD36" w14:textId="02177E94" w:rsidR="000C4A08" w:rsidRDefault="000C4A08">
      <w:pPr>
        <w:pStyle w:val="FootnoteText"/>
      </w:pPr>
      <w:r>
        <w:rPr>
          <w:rStyle w:val="FootnoteReference"/>
        </w:rPr>
        <w:footnoteRef/>
      </w:r>
      <w:r>
        <w:t xml:space="preserve"> </w:t>
      </w:r>
      <w:r w:rsidR="00906803">
        <w:t>Email:</w:t>
      </w:r>
      <w:r>
        <w:t xml:space="preserve"> </w:t>
      </w:r>
      <w:hyperlink r:id="rId1" w:history="1">
        <w:r w:rsidRPr="00A64062">
          <w:rPr>
            <w:rStyle w:val="Hyperlink"/>
          </w:rPr>
          <w:t>ashmilshasahammad@gmail.com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38EC"/>
    <w:multiLevelType w:val="multilevel"/>
    <w:tmpl w:val="40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F8133C5"/>
    <w:multiLevelType w:val="hybridMultilevel"/>
    <w:tmpl w:val="4984E58E"/>
    <w:lvl w:ilvl="0" w:tplc="9C109E8E">
      <w:start w:val="118"/>
      <w:numFmt w:val="bullet"/>
      <w:lvlText w:val=""/>
      <w:lvlJc w:val="left"/>
      <w:pPr>
        <w:ind w:left="720" w:hanging="360"/>
      </w:pPr>
      <w:rPr>
        <w:rFonts w:ascii="Symbol" w:eastAsiaTheme="minorHAnsi" w:hAnsi="Symbol" w:cstheme="minorBidi" w:hint="default"/>
        <w:color w:val="4472C4" w:themeColor="accen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A248D5"/>
    <w:multiLevelType w:val="hybridMultilevel"/>
    <w:tmpl w:val="9E06BC98"/>
    <w:lvl w:ilvl="0" w:tplc="C05C0F84">
      <w:start w:val="1"/>
      <w:numFmt w:val="decimal"/>
      <w:lvlText w:val="%1)"/>
      <w:lvlJc w:val="left"/>
      <w:pPr>
        <w:ind w:left="504" w:hanging="360"/>
      </w:pPr>
      <w:rPr>
        <w:rFonts w:hint="default"/>
      </w:rPr>
    </w:lvl>
    <w:lvl w:ilvl="1" w:tplc="40090019" w:tentative="1">
      <w:start w:val="1"/>
      <w:numFmt w:val="lowerLetter"/>
      <w:lvlText w:val="%2."/>
      <w:lvlJc w:val="left"/>
      <w:pPr>
        <w:ind w:left="1224" w:hanging="360"/>
      </w:pPr>
    </w:lvl>
    <w:lvl w:ilvl="2" w:tplc="4009001B" w:tentative="1">
      <w:start w:val="1"/>
      <w:numFmt w:val="lowerRoman"/>
      <w:lvlText w:val="%3."/>
      <w:lvlJc w:val="right"/>
      <w:pPr>
        <w:ind w:left="1944" w:hanging="180"/>
      </w:pPr>
    </w:lvl>
    <w:lvl w:ilvl="3" w:tplc="4009000F" w:tentative="1">
      <w:start w:val="1"/>
      <w:numFmt w:val="decimal"/>
      <w:lvlText w:val="%4."/>
      <w:lvlJc w:val="left"/>
      <w:pPr>
        <w:ind w:left="2664" w:hanging="360"/>
      </w:pPr>
    </w:lvl>
    <w:lvl w:ilvl="4" w:tplc="40090019" w:tentative="1">
      <w:start w:val="1"/>
      <w:numFmt w:val="lowerLetter"/>
      <w:lvlText w:val="%5."/>
      <w:lvlJc w:val="left"/>
      <w:pPr>
        <w:ind w:left="3384" w:hanging="360"/>
      </w:pPr>
    </w:lvl>
    <w:lvl w:ilvl="5" w:tplc="4009001B" w:tentative="1">
      <w:start w:val="1"/>
      <w:numFmt w:val="lowerRoman"/>
      <w:lvlText w:val="%6."/>
      <w:lvlJc w:val="right"/>
      <w:pPr>
        <w:ind w:left="4104" w:hanging="180"/>
      </w:pPr>
    </w:lvl>
    <w:lvl w:ilvl="6" w:tplc="4009000F" w:tentative="1">
      <w:start w:val="1"/>
      <w:numFmt w:val="decimal"/>
      <w:lvlText w:val="%7."/>
      <w:lvlJc w:val="left"/>
      <w:pPr>
        <w:ind w:left="4824" w:hanging="360"/>
      </w:pPr>
    </w:lvl>
    <w:lvl w:ilvl="7" w:tplc="40090019" w:tentative="1">
      <w:start w:val="1"/>
      <w:numFmt w:val="lowerLetter"/>
      <w:lvlText w:val="%8."/>
      <w:lvlJc w:val="left"/>
      <w:pPr>
        <w:ind w:left="5544" w:hanging="360"/>
      </w:pPr>
    </w:lvl>
    <w:lvl w:ilvl="8" w:tplc="4009001B" w:tentative="1">
      <w:start w:val="1"/>
      <w:numFmt w:val="lowerRoman"/>
      <w:lvlText w:val="%9."/>
      <w:lvlJc w:val="right"/>
      <w:pPr>
        <w:ind w:left="6264" w:hanging="180"/>
      </w:pPr>
    </w:lvl>
  </w:abstractNum>
  <w:abstractNum w:abstractNumId="3" w15:restartNumberingAfterBreak="0">
    <w:nsid w:val="7BEB30F5"/>
    <w:multiLevelType w:val="hybridMultilevel"/>
    <w:tmpl w:val="301269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2011211">
    <w:abstractNumId w:val="2"/>
  </w:num>
  <w:num w:numId="2" w16cid:durableId="1876844961">
    <w:abstractNumId w:val="3"/>
  </w:num>
  <w:num w:numId="3" w16cid:durableId="532809412">
    <w:abstractNumId w:val="0"/>
  </w:num>
  <w:num w:numId="4" w16cid:durableId="140877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67"/>
    <w:rsid w:val="000162A9"/>
    <w:rsid w:val="00026BA9"/>
    <w:rsid w:val="00027AC9"/>
    <w:rsid w:val="00031EB3"/>
    <w:rsid w:val="00035801"/>
    <w:rsid w:val="000400F1"/>
    <w:rsid w:val="000448E2"/>
    <w:rsid w:val="00054B0F"/>
    <w:rsid w:val="0007685C"/>
    <w:rsid w:val="00077919"/>
    <w:rsid w:val="000917BE"/>
    <w:rsid w:val="000962C2"/>
    <w:rsid w:val="000A1BA1"/>
    <w:rsid w:val="000A20ED"/>
    <w:rsid w:val="000A5445"/>
    <w:rsid w:val="000B0AAF"/>
    <w:rsid w:val="000C0172"/>
    <w:rsid w:val="000C2C6E"/>
    <w:rsid w:val="000C4A08"/>
    <w:rsid w:val="000C6D18"/>
    <w:rsid w:val="000D6845"/>
    <w:rsid w:val="000F021F"/>
    <w:rsid w:val="000F52DF"/>
    <w:rsid w:val="001036DE"/>
    <w:rsid w:val="001078DC"/>
    <w:rsid w:val="00111B7B"/>
    <w:rsid w:val="00116B65"/>
    <w:rsid w:val="00117668"/>
    <w:rsid w:val="00117671"/>
    <w:rsid w:val="00125127"/>
    <w:rsid w:val="00135491"/>
    <w:rsid w:val="00136084"/>
    <w:rsid w:val="00136E3E"/>
    <w:rsid w:val="001403E7"/>
    <w:rsid w:val="00140AE6"/>
    <w:rsid w:val="00147CE8"/>
    <w:rsid w:val="00151147"/>
    <w:rsid w:val="00174B0B"/>
    <w:rsid w:val="00183549"/>
    <w:rsid w:val="0019467C"/>
    <w:rsid w:val="001962BC"/>
    <w:rsid w:val="001A02E8"/>
    <w:rsid w:val="001C456D"/>
    <w:rsid w:val="001C7657"/>
    <w:rsid w:val="001D02FD"/>
    <w:rsid w:val="001D1EBC"/>
    <w:rsid w:val="001D26E4"/>
    <w:rsid w:val="001D53F1"/>
    <w:rsid w:val="001D6070"/>
    <w:rsid w:val="001F11F9"/>
    <w:rsid w:val="002008C7"/>
    <w:rsid w:val="0020211E"/>
    <w:rsid w:val="00222011"/>
    <w:rsid w:val="00224662"/>
    <w:rsid w:val="002425AA"/>
    <w:rsid w:val="00247BED"/>
    <w:rsid w:val="00254084"/>
    <w:rsid w:val="00255023"/>
    <w:rsid w:val="00255889"/>
    <w:rsid w:val="00260D9E"/>
    <w:rsid w:val="002665F1"/>
    <w:rsid w:val="00293FCF"/>
    <w:rsid w:val="00296267"/>
    <w:rsid w:val="002B3C53"/>
    <w:rsid w:val="002B6F90"/>
    <w:rsid w:val="002C23F9"/>
    <w:rsid w:val="002C2C9B"/>
    <w:rsid w:val="002C7E96"/>
    <w:rsid w:val="002D05C8"/>
    <w:rsid w:val="002E1D04"/>
    <w:rsid w:val="002E5508"/>
    <w:rsid w:val="002F2F57"/>
    <w:rsid w:val="003005B5"/>
    <w:rsid w:val="00301933"/>
    <w:rsid w:val="0030780A"/>
    <w:rsid w:val="00313040"/>
    <w:rsid w:val="00313C53"/>
    <w:rsid w:val="0032536A"/>
    <w:rsid w:val="0033561D"/>
    <w:rsid w:val="003404CC"/>
    <w:rsid w:val="00355B68"/>
    <w:rsid w:val="00355FA3"/>
    <w:rsid w:val="00360FD2"/>
    <w:rsid w:val="003663DD"/>
    <w:rsid w:val="00367326"/>
    <w:rsid w:val="00370C20"/>
    <w:rsid w:val="00376018"/>
    <w:rsid w:val="003A4309"/>
    <w:rsid w:val="003A6330"/>
    <w:rsid w:val="003B1AFE"/>
    <w:rsid w:val="003D39E0"/>
    <w:rsid w:val="003E4E03"/>
    <w:rsid w:val="003F15C7"/>
    <w:rsid w:val="003F7D57"/>
    <w:rsid w:val="004004DE"/>
    <w:rsid w:val="00403571"/>
    <w:rsid w:val="00410102"/>
    <w:rsid w:val="00412F46"/>
    <w:rsid w:val="00414167"/>
    <w:rsid w:val="004156E2"/>
    <w:rsid w:val="00415757"/>
    <w:rsid w:val="004208C5"/>
    <w:rsid w:val="00421E8B"/>
    <w:rsid w:val="00424F21"/>
    <w:rsid w:val="004307C4"/>
    <w:rsid w:val="00432E1E"/>
    <w:rsid w:val="0043619D"/>
    <w:rsid w:val="004433D2"/>
    <w:rsid w:val="00444BCE"/>
    <w:rsid w:val="00462F3D"/>
    <w:rsid w:val="00465E93"/>
    <w:rsid w:val="004661DA"/>
    <w:rsid w:val="004757C6"/>
    <w:rsid w:val="00487FF6"/>
    <w:rsid w:val="0049020B"/>
    <w:rsid w:val="004A2853"/>
    <w:rsid w:val="004A6F91"/>
    <w:rsid w:val="004B7037"/>
    <w:rsid w:val="004C1D58"/>
    <w:rsid w:val="004C59B9"/>
    <w:rsid w:val="004C5A5F"/>
    <w:rsid w:val="004D0E79"/>
    <w:rsid w:val="004E43E7"/>
    <w:rsid w:val="004E5043"/>
    <w:rsid w:val="004E7556"/>
    <w:rsid w:val="004F049D"/>
    <w:rsid w:val="004F0910"/>
    <w:rsid w:val="004F2FC9"/>
    <w:rsid w:val="004F7F42"/>
    <w:rsid w:val="00526927"/>
    <w:rsid w:val="00532B86"/>
    <w:rsid w:val="00533F0B"/>
    <w:rsid w:val="00533F4A"/>
    <w:rsid w:val="0054509E"/>
    <w:rsid w:val="00552E04"/>
    <w:rsid w:val="00554167"/>
    <w:rsid w:val="005558EB"/>
    <w:rsid w:val="0057278F"/>
    <w:rsid w:val="005942EC"/>
    <w:rsid w:val="005A5F53"/>
    <w:rsid w:val="005B0A9D"/>
    <w:rsid w:val="005B0C65"/>
    <w:rsid w:val="005B26EB"/>
    <w:rsid w:val="005C6095"/>
    <w:rsid w:val="005D0B2B"/>
    <w:rsid w:val="005D5C24"/>
    <w:rsid w:val="005D739F"/>
    <w:rsid w:val="005E179F"/>
    <w:rsid w:val="006069D9"/>
    <w:rsid w:val="00610EFC"/>
    <w:rsid w:val="006122B4"/>
    <w:rsid w:val="00614F03"/>
    <w:rsid w:val="00615D07"/>
    <w:rsid w:val="006210C5"/>
    <w:rsid w:val="006228AC"/>
    <w:rsid w:val="006322BD"/>
    <w:rsid w:val="00646C71"/>
    <w:rsid w:val="00652EB5"/>
    <w:rsid w:val="006534C1"/>
    <w:rsid w:val="00654F68"/>
    <w:rsid w:val="00655917"/>
    <w:rsid w:val="00657399"/>
    <w:rsid w:val="00664ADD"/>
    <w:rsid w:val="006669FA"/>
    <w:rsid w:val="00670628"/>
    <w:rsid w:val="006721B4"/>
    <w:rsid w:val="0068207D"/>
    <w:rsid w:val="006947EB"/>
    <w:rsid w:val="0069491A"/>
    <w:rsid w:val="00694C42"/>
    <w:rsid w:val="006A58FC"/>
    <w:rsid w:val="006A6C95"/>
    <w:rsid w:val="006A7750"/>
    <w:rsid w:val="006C0C24"/>
    <w:rsid w:val="006C4B20"/>
    <w:rsid w:val="006C785A"/>
    <w:rsid w:val="006D3958"/>
    <w:rsid w:val="006D44A3"/>
    <w:rsid w:val="006D5B31"/>
    <w:rsid w:val="006E2485"/>
    <w:rsid w:val="006E2FD5"/>
    <w:rsid w:val="006F426F"/>
    <w:rsid w:val="007032E6"/>
    <w:rsid w:val="007039D8"/>
    <w:rsid w:val="007044A8"/>
    <w:rsid w:val="007065AC"/>
    <w:rsid w:val="007135B5"/>
    <w:rsid w:val="0071787F"/>
    <w:rsid w:val="007228DC"/>
    <w:rsid w:val="00733355"/>
    <w:rsid w:val="00734CBF"/>
    <w:rsid w:val="0073541B"/>
    <w:rsid w:val="00735D79"/>
    <w:rsid w:val="00737415"/>
    <w:rsid w:val="00741413"/>
    <w:rsid w:val="00743E88"/>
    <w:rsid w:val="00771A38"/>
    <w:rsid w:val="0078317C"/>
    <w:rsid w:val="00784FFD"/>
    <w:rsid w:val="00793357"/>
    <w:rsid w:val="007A0284"/>
    <w:rsid w:val="007C30E0"/>
    <w:rsid w:val="007E6913"/>
    <w:rsid w:val="007F0118"/>
    <w:rsid w:val="00804560"/>
    <w:rsid w:val="008162C7"/>
    <w:rsid w:val="00830071"/>
    <w:rsid w:val="008322C3"/>
    <w:rsid w:val="00841FFA"/>
    <w:rsid w:val="00843E15"/>
    <w:rsid w:val="00850874"/>
    <w:rsid w:val="00855BDB"/>
    <w:rsid w:val="0086356F"/>
    <w:rsid w:val="00870DE9"/>
    <w:rsid w:val="008711A6"/>
    <w:rsid w:val="00871CA3"/>
    <w:rsid w:val="008747A6"/>
    <w:rsid w:val="008779F2"/>
    <w:rsid w:val="008813C1"/>
    <w:rsid w:val="00881D3C"/>
    <w:rsid w:val="00882D31"/>
    <w:rsid w:val="0088492D"/>
    <w:rsid w:val="00885168"/>
    <w:rsid w:val="00886734"/>
    <w:rsid w:val="0089085E"/>
    <w:rsid w:val="00890B5F"/>
    <w:rsid w:val="00894B31"/>
    <w:rsid w:val="008956BF"/>
    <w:rsid w:val="00897192"/>
    <w:rsid w:val="008A1B78"/>
    <w:rsid w:val="008A2822"/>
    <w:rsid w:val="008C4ACA"/>
    <w:rsid w:val="008D106F"/>
    <w:rsid w:val="008D368F"/>
    <w:rsid w:val="008D5B1F"/>
    <w:rsid w:val="008E4D32"/>
    <w:rsid w:val="008F09B9"/>
    <w:rsid w:val="008F1A85"/>
    <w:rsid w:val="008F2B3D"/>
    <w:rsid w:val="008F564D"/>
    <w:rsid w:val="008F5FDC"/>
    <w:rsid w:val="00906803"/>
    <w:rsid w:val="00907BE5"/>
    <w:rsid w:val="00911E3D"/>
    <w:rsid w:val="00914EB7"/>
    <w:rsid w:val="009205E1"/>
    <w:rsid w:val="00920C97"/>
    <w:rsid w:val="00925DFE"/>
    <w:rsid w:val="00927C3A"/>
    <w:rsid w:val="0093662F"/>
    <w:rsid w:val="00936AFD"/>
    <w:rsid w:val="00940B70"/>
    <w:rsid w:val="00950E01"/>
    <w:rsid w:val="009561DB"/>
    <w:rsid w:val="0096146C"/>
    <w:rsid w:val="00964BB2"/>
    <w:rsid w:val="00964CF8"/>
    <w:rsid w:val="00965B0E"/>
    <w:rsid w:val="00970705"/>
    <w:rsid w:val="00971D47"/>
    <w:rsid w:val="00977D44"/>
    <w:rsid w:val="0098462F"/>
    <w:rsid w:val="00992DBE"/>
    <w:rsid w:val="00997220"/>
    <w:rsid w:val="009A09B0"/>
    <w:rsid w:val="009A26F5"/>
    <w:rsid w:val="009A2844"/>
    <w:rsid w:val="009B7433"/>
    <w:rsid w:val="009C1183"/>
    <w:rsid w:val="009C196F"/>
    <w:rsid w:val="009D0AE8"/>
    <w:rsid w:val="009D29E8"/>
    <w:rsid w:val="009D5414"/>
    <w:rsid w:val="009D605B"/>
    <w:rsid w:val="009D6AE2"/>
    <w:rsid w:val="009F5C51"/>
    <w:rsid w:val="009F70DC"/>
    <w:rsid w:val="00A00C76"/>
    <w:rsid w:val="00A01043"/>
    <w:rsid w:val="00A1375A"/>
    <w:rsid w:val="00A17A2B"/>
    <w:rsid w:val="00A238E0"/>
    <w:rsid w:val="00A26C3D"/>
    <w:rsid w:val="00A32403"/>
    <w:rsid w:val="00A35D4C"/>
    <w:rsid w:val="00A42B32"/>
    <w:rsid w:val="00A442B2"/>
    <w:rsid w:val="00A53C86"/>
    <w:rsid w:val="00A540D8"/>
    <w:rsid w:val="00A62A01"/>
    <w:rsid w:val="00A632C4"/>
    <w:rsid w:val="00A67800"/>
    <w:rsid w:val="00A70134"/>
    <w:rsid w:val="00A70D75"/>
    <w:rsid w:val="00A85789"/>
    <w:rsid w:val="00A8709A"/>
    <w:rsid w:val="00A87798"/>
    <w:rsid w:val="00A95F39"/>
    <w:rsid w:val="00A97F67"/>
    <w:rsid w:val="00AA1567"/>
    <w:rsid w:val="00AA44BD"/>
    <w:rsid w:val="00AC188D"/>
    <w:rsid w:val="00AD642B"/>
    <w:rsid w:val="00AE6A5F"/>
    <w:rsid w:val="00AE6F13"/>
    <w:rsid w:val="00AF355F"/>
    <w:rsid w:val="00B014E6"/>
    <w:rsid w:val="00B03A11"/>
    <w:rsid w:val="00B10033"/>
    <w:rsid w:val="00B145FD"/>
    <w:rsid w:val="00B157D4"/>
    <w:rsid w:val="00B23A91"/>
    <w:rsid w:val="00B241DA"/>
    <w:rsid w:val="00B270B7"/>
    <w:rsid w:val="00B34C0F"/>
    <w:rsid w:val="00B35B50"/>
    <w:rsid w:val="00B414AE"/>
    <w:rsid w:val="00B42E80"/>
    <w:rsid w:val="00B43718"/>
    <w:rsid w:val="00B47203"/>
    <w:rsid w:val="00B47270"/>
    <w:rsid w:val="00B47D35"/>
    <w:rsid w:val="00B548CA"/>
    <w:rsid w:val="00B56AC6"/>
    <w:rsid w:val="00B5741B"/>
    <w:rsid w:val="00B67676"/>
    <w:rsid w:val="00B7087B"/>
    <w:rsid w:val="00B74A94"/>
    <w:rsid w:val="00B774EA"/>
    <w:rsid w:val="00B8512D"/>
    <w:rsid w:val="00B92576"/>
    <w:rsid w:val="00B92CF0"/>
    <w:rsid w:val="00BA312D"/>
    <w:rsid w:val="00BA34B3"/>
    <w:rsid w:val="00BA6AD8"/>
    <w:rsid w:val="00BB21FE"/>
    <w:rsid w:val="00BB2BFF"/>
    <w:rsid w:val="00BC18B5"/>
    <w:rsid w:val="00BC1E39"/>
    <w:rsid w:val="00BD32C3"/>
    <w:rsid w:val="00BE651E"/>
    <w:rsid w:val="00BF0FC8"/>
    <w:rsid w:val="00BF7A70"/>
    <w:rsid w:val="00C00ACC"/>
    <w:rsid w:val="00C02C39"/>
    <w:rsid w:val="00C0358F"/>
    <w:rsid w:val="00C0367F"/>
    <w:rsid w:val="00C111A6"/>
    <w:rsid w:val="00C1144D"/>
    <w:rsid w:val="00C14982"/>
    <w:rsid w:val="00C36563"/>
    <w:rsid w:val="00C475EE"/>
    <w:rsid w:val="00C479D2"/>
    <w:rsid w:val="00C53100"/>
    <w:rsid w:val="00C736CF"/>
    <w:rsid w:val="00C834E3"/>
    <w:rsid w:val="00C87EF6"/>
    <w:rsid w:val="00C944BD"/>
    <w:rsid w:val="00C94871"/>
    <w:rsid w:val="00CA1140"/>
    <w:rsid w:val="00CB576A"/>
    <w:rsid w:val="00CC7179"/>
    <w:rsid w:val="00CD323C"/>
    <w:rsid w:val="00CD5975"/>
    <w:rsid w:val="00CE01EC"/>
    <w:rsid w:val="00D01669"/>
    <w:rsid w:val="00D2171A"/>
    <w:rsid w:val="00D237DB"/>
    <w:rsid w:val="00D3026A"/>
    <w:rsid w:val="00D30A96"/>
    <w:rsid w:val="00D326B2"/>
    <w:rsid w:val="00D33027"/>
    <w:rsid w:val="00D42EC1"/>
    <w:rsid w:val="00D57DB2"/>
    <w:rsid w:val="00D74AA3"/>
    <w:rsid w:val="00D7723A"/>
    <w:rsid w:val="00D8176A"/>
    <w:rsid w:val="00D9160B"/>
    <w:rsid w:val="00DB5260"/>
    <w:rsid w:val="00DC0ED2"/>
    <w:rsid w:val="00DC141D"/>
    <w:rsid w:val="00DC1C58"/>
    <w:rsid w:val="00DC4C83"/>
    <w:rsid w:val="00DC72FC"/>
    <w:rsid w:val="00DC7D4D"/>
    <w:rsid w:val="00DE717A"/>
    <w:rsid w:val="00DE7EE1"/>
    <w:rsid w:val="00DF40E7"/>
    <w:rsid w:val="00DF6F40"/>
    <w:rsid w:val="00E321B6"/>
    <w:rsid w:val="00E32AB2"/>
    <w:rsid w:val="00E4660C"/>
    <w:rsid w:val="00E5466C"/>
    <w:rsid w:val="00E57214"/>
    <w:rsid w:val="00E722F3"/>
    <w:rsid w:val="00E871AD"/>
    <w:rsid w:val="00E93CEB"/>
    <w:rsid w:val="00E94EFA"/>
    <w:rsid w:val="00EA1500"/>
    <w:rsid w:val="00EA23FB"/>
    <w:rsid w:val="00EA4919"/>
    <w:rsid w:val="00EA70F0"/>
    <w:rsid w:val="00EB1730"/>
    <w:rsid w:val="00EB3471"/>
    <w:rsid w:val="00EB50B2"/>
    <w:rsid w:val="00EC7F5E"/>
    <w:rsid w:val="00ED0A1C"/>
    <w:rsid w:val="00ED3A50"/>
    <w:rsid w:val="00ED407C"/>
    <w:rsid w:val="00ED5051"/>
    <w:rsid w:val="00ED5C29"/>
    <w:rsid w:val="00EE4FA0"/>
    <w:rsid w:val="00EE751E"/>
    <w:rsid w:val="00EF0E0A"/>
    <w:rsid w:val="00EF31C2"/>
    <w:rsid w:val="00F1288A"/>
    <w:rsid w:val="00F249D6"/>
    <w:rsid w:val="00F30188"/>
    <w:rsid w:val="00F354A4"/>
    <w:rsid w:val="00F36740"/>
    <w:rsid w:val="00F4104B"/>
    <w:rsid w:val="00F46091"/>
    <w:rsid w:val="00F56C14"/>
    <w:rsid w:val="00F70853"/>
    <w:rsid w:val="00F74085"/>
    <w:rsid w:val="00F8006D"/>
    <w:rsid w:val="00F81219"/>
    <w:rsid w:val="00F81F88"/>
    <w:rsid w:val="00F82C55"/>
    <w:rsid w:val="00FA73C9"/>
    <w:rsid w:val="00FB0514"/>
    <w:rsid w:val="00FB5CCD"/>
    <w:rsid w:val="00FB6A86"/>
    <w:rsid w:val="00FC2A8F"/>
    <w:rsid w:val="00FC5A4C"/>
    <w:rsid w:val="00FD49D1"/>
    <w:rsid w:val="00FE17EA"/>
    <w:rsid w:val="00FE4499"/>
    <w:rsid w:val="00FE5C9C"/>
    <w:rsid w:val="00FF3940"/>
    <w:rsid w:val="00FF5C5C"/>
    <w:rsid w:val="00FF64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695A"/>
  <w15:docId w15:val="{8DFC8D30-C842-4B6A-B624-9DBAB1F6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08"/>
    <w:pPr>
      <w:spacing w:before="120" w:after="12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254084"/>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0C4A0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4A08"/>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C4A0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4A0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4A0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4A0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4A0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A0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2F"/>
    <w:pPr>
      <w:ind w:left="720"/>
      <w:contextualSpacing/>
    </w:pPr>
  </w:style>
  <w:style w:type="character" w:styleId="Hyperlink">
    <w:name w:val="Hyperlink"/>
    <w:basedOn w:val="DefaultParagraphFont"/>
    <w:uiPriority w:val="99"/>
    <w:unhideWhenUsed/>
    <w:rsid w:val="00031EB3"/>
    <w:rPr>
      <w:color w:val="0563C1" w:themeColor="hyperlink"/>
      <w:u w:val="single"/>
    </w:rPr>
  </w:style>
  <w:style w:type="character" w:styleId="UnresolvedMention">
    <w:name w:val="Unresolved Mention"/>
    <w:basedOn w:val="DefaultParagraphFont"/>
    <w:uiPriority w:val="99"/>
    <w:semiHidden/>
    <w:unhideWhenUsed/>
    <w:rsid w:val="00031EB3"/>
    <w:rPr>
      <w:color w:val="605E5C"/>
      <w:shd w:val="clear" w:color="auto" w:fill="E1DFDD"/>
    </w:rPr>
  </w:style>
  <w:style w:type="paragraph" w:styleId="Header">
    <w:name w:val="header"/>
    <w:basedOn w:val="Normal"/>
    <w:link w:val="HeaderChar"/>
    <w:uiPriority w:val="99"/>
    <w:unhideWhenUsed/>
    <w:rsid w:val="0007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5C"/>
  </w:style>
  <w:style w:type="paragraph" w:styleId="Footer">
    <w:name w:val="footer"/>
    <w:basedOn w:val="Normal"/>
    <w:link w:val="FooterChar"/>
    <w:uiPriority w:val="99"/>
    <w:unhideWhenUsed/>
    <w:rsid w:val="0007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5C"/>
  </w:style>
  <w:style w:type="table" w:styleId="TableGrid">
    <w:name w:val="Table Grid"/>
    <w:basedOn w:val="TableNormal"/>
    <w:uiPriority w:val="39"/>
    <w:rsid w:val="004D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10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C4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A08"/>
    <w:rPr>
      <w:sz w:val="20"/>
      <w:szCs w:val="20"/>
    </w:rPr>
  </w:style>
  <w:style w:type="character" w:styleId="FootnoteReference">
    <w:name w:val="footnote reference"/>
    <w:basedOn w:val="DefaultParagraphFont"/>
    <w:uiPriority w:val="99"/>
    <w:semiHidden/>
    <w:unhideWhenUsed/>
    <w:rsid w:val="000C4A08"/>
    <w:rPr>
      <w:vertAlign w:val="superscript"/>
    </w:rPr>
  </w:style>
  <w:style w:type="character" w:customStyle="1" w:styleId="Heading1Char">
    <w:name w:val="Heading 1 Char"/>
    <w:basedOn w:val="DefaultParagraphFont"/>
    <w:link w:val="Heading1"/>
    <w:uiPriority w:val="9"/>
    <w:rsid w:val="0025408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0C4A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4A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C4A0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4A0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4A0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4A0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4A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A08"/>
    <w:rPr>
      <w:rFonts w:asciiTheme="majorHAnsi" w:eastAsiaTheme="majorEastAsia" w:hAnsiTheme="majorHAnsi" w:cstheme="majorBidi"/>
      <w:i/>
      <w:iCs/>
      <w:color w:val="272727" w:themeColor="text1" w:themeTint="D8"/>
      <w:sz w:val="21"/>
      <w:szCs w:val="21"/>
    </w:rPr>
  </w:style>
  <w:style w:type="paragraph" w:customStyle="1" w:styleId="Abstract">
    <w:name w:val="Abstract"/>
    <w:basedOn w:val="Normal"/>
    <w:autoRedefine/>
    <w:qFormat/>
    <w:rsid w:val="000C4A08"/>
    <w:pPr>
      <w:spacing w:line="276" w:lineRule="auto"/>
    </w:pPr>
    <w:rPr>
      <w:rFonts w:cs="Times New Roman"/>
      <w:szCs w:val="28"/>
    </w:rPr>
  </w:style>
  <w:style w:type="paragraph" w:styleId="Caption">
    <w:name w:val="caption"/>
    <w:basedOn w:val="Normal"/>
    <w:next w:val="Normal"/>
    <w:autoRedefine/>
    <w:uiPriority w:val="35"/>
    <w:unhideWhenUsed/>
    <w:qFormat/>
    <w:rsid w:val="006A6C95"/>
    <w:pPr>
      <w:spacing w:before="0" w:after="200" w:line="240" w:lineRule="auto"/>
    </w:pPr>
    <w:rPr>
      <w:b/>
      <w:iCs/>
      <w:sz w:val="20"/>
      <w:szCs w:val="20"/>
    </w:rPr>
  </w:style>
  <w:style w:type="paragraph" w:customStyle="1" w:styleId="References">
    <w:name w:val="References"/>
    <w:basedOn w:val="Normal"/>
    <w:autoRedefine/>
    <w:qFormat/>
    <w:rsid w:val="000D6845"/>
    <w:pPr>
      <w:spacing w:before="0" w:after="0" w:line="276" w:lineRule="auto"/>
      <w:ind w:left="720" w:hanging="720"/>
    </w:pPr>
    <w:rPr>
      <w:rFonts w:cs="Times New Roman"/>
      <w:color w:val="222222"/>
      <w:sz w:val="20"/>
      <w:szCs w:val="20"/>
      <w:shd w:val="clear" w:color="auto" w:fill="FFFFFF"/>
    </w:rPr>
  </w:style>
  <w:style w:type="character" w:styleId="FollowedHyperlink">
    <w:name w:val="FollowedHyperlink"/>
    <w:basedOn w:val="DefaultParagraphFont"/>
    <w:uiPriority w:val="99"/>
    <w:semiHidden/>
    <w:unhideWhenUsed/>
    <w:rsid w:val="00906803"/>
    <w:rPr>
      <w:color w:val="954F72" w:themeColor="followedHyperlink"/>
      <w:u w:val="single"/>
    </w:rPr>
  </w:style>
  <w:style w:type="character" w:styleId="Strong">
    <w:name w:val="Strong"/>
    <w:basedOn w:val="DefaultParagraphFont"/>
    <w:uiPriority w:val="22"/>
    <w:qFormat/>
    <w:rsid w:val="00BF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6307">
      <w:bodyDiv w:val="1"/>
      <w:marLeft w:val="0"/>
      <w:marRight w:val="0"/>
      <w:marTop w:val="0"/>
      <w:marBottom w:val="0"/>
      <w:divBdr>
        <w:top w:val="none" w:sz="0" w:space="0" w:color="auto"/>
        <w:left w:val="none" w:sz="0" w:space="0" w:color="auto"/>
        <w:bottom w:val="none" w:sz="0" w:space="0" w:color="auto"/>
        <w:right w:val="none" w:sz="0" w:space="0" w:color="auto"/>
      </w:divBdr>
      <w:divsChild>
        <w:div w:id="1439832099">
          <w:marLeft w:val="0"/>
          <w:marRight w:val="0"/>
          <w:marTop w:val="0"/>
          <w:marBottom w:val="0"/>
          <w:divBdr>
            <w:top w:val="none" w:sz="0" w:space="0" w:color="auto"/>
            <w:left w:val="none" w:sz="0" w:space="0" w:color="auto"/>
            <w:bottom w:val="none" w:sz="0" w:space="0" w:color="auto"/>
            <w:right w:val="none" w:sz="0" w:space="0" w:color="auto"/>
          </w:divBdr>
          <w:divsChild>
            <w:div w:id="11978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93">
      <w:bodyDiv w:val="1"/>
      <w:marLeft w:val="0"/>
      <w:marRight w:val="0"/>
      <w:marTop w:val="0"/>
      <w:marBottom w:val="0"/>
      <w:divBdr>
        <w:top w:val="none" w:sz="0" w:space="0" w:color="auto"/>
        <w:left w:val="none" w:sz="0" w:space="0" w:color="auto"/>
        <w:bottom w:val="none" w:sz="0" w:space="0" w:color="auto"/>
        <w:right w:val="none" w:sz="0" w:space="0" w:color="auto"/>
      </w:divBdr>
    </w:div>
    <w:div w:id="777410827">
      <w:bodyDiv w:val="1"/>
      <w:marLeft w:val="0"/>
      <w:marRight w:val="0"/>
      <w:marTop w:val="0"/>
      <w:marBottom w:val="0"/>
      <w:divBdr>
        <w:top w:val="none" w:sz="0" w:space="0" w:color="auto"/>
        <w:left w:val="none" w:sz="0" w:space="0" w:color="auto"/>
        <w:bottom w:val="none" w:sz="0" w:space="0" w:color="auto"/>
        <w:right w:val="none" w:sz="0" w:space="0" w:color="auto"/>
      </w:divBdr>
    </w:div>
    <w:div w:id="974599070">
      <w:bodyDiv w:val="1"/>
      <w:marLeft w:val="0"/>
      <w:marRight w:val="0"/>
      <w:marTop w:val="0"/>
      <w:marBottom w:val="0"/>
      <w:divBdr>
        <w:top w:val="none" w:sz="0" w:space="0" w:color="auto"/>
        <w:left w:val="none" w:sz="0" w:space="0" w:color="auto"/>
        <w:bottom w:val="none" w:sz="0" w:space="0" w:color="auto"/>
        <w:right w:val="none" w:sz="0" w:space="0" w:color="auto"/>
      </w:divBdr>
    </w:div>
    <w:div w:id="157031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s://www.emerald.com/insight/search?q=Manzoor%20Hassan%20Malik" TargetMode="External"/><Relationship Id="rId26" Type="http://schemas.openxmlformats.org/officeDocument/2006/relationships/hyperlink" Target="https://doi.org/10.1007/s12076-023-00329-9" TargetMode="External"/><Relationship Id="rId3" Type="http://schemas.openxmlformats.org/officeDocument/2006/relationships/styles" Target="styles.xml"/><Relationship Id="rId21" Type="http://schemas.openxmlformats.org/officeDocument/2006/relationships/hyperlink" Target="https://doi.org/10.1108/ITPD-05-2019-0001"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ideas.repec.org/s/ids/ijexpo.htm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emerald.com/insight/publication/issn/2586-39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ideas.repec.org/s/ids/ijexpo.html"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jstor.org/stable/491033.%20Accessed%2026%20July%202023"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emerald.com/insight/search?q=Nirmala%20Vela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doi.org/10.1177/2319714520984676" TargetMode="External"/><Relationship Id="rId27" Type="http://schemas.openxmlformats.org/officeDocument/2006/relationships/hyperlink" Target="https://doi.org/10.1371/journal.pone.02873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shmilshasahammad@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hmi\Documents\intern%20data%20process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hmi\Documents\intern%20data%20process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hmi\Documents\intern%20data%20process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4e1bab4c7fb3a24c/Documents/interndataprocessing2%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sp3d/>
            </c:spPr>
            <c:extLst>
              <c:ext xmlns:c16="http://schemas.microsoft.com/office/drawing/2014/chart" uri="{C3380CC4-5D6E-409C-BE32-E72D297353CC}">
                <c16:uniqueId val="{00000001-39F8-4F38-AEDE-6BF2554A4991}"/>
              </c:ext>
            </c:extLst>
          </c:dPt>
          <c:dPt>
            <c:idx val="1"/>
            <c:bubble3D val="0"/>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sp3d/>
            </c:spPr>
            <c:extLst>
              <c:ext xmlns:c16="http://schemas.microsoft.com/office/drawing/2014/chart" uri="{C3380CC4-5D6E-409C-BE32-E72D297353CC}">
                <c16:uniqueId val="{00000003-39F8-4F38-AEDE-6BF2554A499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Sheet1!$C$1427:$D$1427</c:f>
              <c:strCache>
                <c:ptCount val="2"/>
                <c:pt idx="0">
                  <c:v>LARGE</c:v>
                </c:pt>
                <c:pt idx="1">
                  <c:v>SMALL</c:v>
                </c:pt>
              </c:strCache>
            </c:strRef>
          </c:cat>
          <c:val>
            <c:numRef>
              <c:f>Sheet1!$C$1428:$D$1428</c:f>
              <c:numCache>
                <c:formatCode>General</c:formatCode>
                <c:ptCount val="2"/>
                <c:pt idx="0">
                  <c:v>312</c:v>
                </c:pt>
                <c:pt idx="1">
                  <c:v>1097</c:v>
                </c:pt>
              </c:numCache>
            </c:numRef>
          </c:val>
          <c:extLst>
            <c:ext xmlns:c16="http://schemas.microsoft.com/office/drawing/2014/chart" uri="{C3380CC4-5D6E-409C-BE32-E72D297353CC}">
              <c16:uniqueId val="{00000004-39F8-4F38-AEDE-6BF2554A4991}"/>
            </c:ext>
          </c:extLst>
        </c:ser>
        <c:dLbls>
          <c:dLblPos val="outEnd"/>
          <c:showLegendKey val="0"/>
          <c:showVal val="0"/>
          <c:showCatName val="1"/>
          <c:showSerName val="0"/>
          <c:showPercent val="0"/>
          <c:showBubbleSize val="0"/>
          <c:showLeaderLines val="0"/>
        </c:dLbls>
      </c:pie3DChart>
      <c:spPr>
        <a:noFill/>
        <a:ln>
          <a:noFill/>
        </a:ln>
        <a:effectLst/>
      </c:spPr>
    </c:plotArea>
    <c:legend>
      <c:legendPos val="b"/>
      <c:layout>
        <c:manualLayout>
          <c:xMode val="edge"/>
          <c:yMode val="edge"/>
          <c:x val="0.35113145495367298"/>
          <c:y val="0.81713613923259587"/>
          <c:w val="0.3780580590076843"/>
          <c:h val="7.86971941007374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Sheet1!$D$1450</c:f>
              <c:strCache>
                <c:ptCount val="1"/>
                <c:pt idx="0">
                  <c:v>Large Companies</c:v>
                </c:pt>
              </c:strCache>
            </c:strRef>
          </c:tx>
          <c:spPr>
            <a:ln w="28575" cap="rnd">
              <a:solidFill>
                <a:schemeClr val="accent2"/>
              </a:solidFill>
              <a:round/>
            </a:ln>
            <a:effectLst/>
          </c:spPr>
          <c:marker>
            <c:symbol val="none"/>
          </c:marker>
          <c:cat>
            <c:numRef>
              <c:f>Sheet1!$C$1451:$C$1457</c:f>
              <c:numCache>
                <c:formatCode>General</c:formatCode>
                <c:ptCount val="7"/>
                <c:pt idx="0">
                  <c:v>2015</c:v>
                </c:pt>
                <c:pt idx="1">
                  <c:v>2016</c:v>
                </c:pt>
                <c:pt idx="2">
                  <c:v>2017</c:v>
                </c:pt>
                <c:pt idx="3">
                  <c:v>2018</c:v>
                </c:pt>
                <c:pt idx="4">
                  <c:v>2019</c:v>
                </c:pt>
                <c:pt idx="5">
                  <c:v>2020</c:v>
                </c:pt>
                <c:pt idx="6">
                  <c:v>2021</c:v>
                </c:pt>
              </c:numCache>
            </c:numRef>
          </c:cat>
          <c:val>
            <c:numRef>
              <c:f>Sheet1!$D$1451:$D$1457</c:f>
              <c:numCache>
                <c:formatCode>General</c:formatCode>
                <c:ptCount val="7"/>
                <c:pt idx="0">
                  <c:v>321.76163987138256</c:v>
                </c:pt>
                <c:pt idx="1">
                  <c:v>330.88041139240448</c:v>
                </c:pt>
                <c:pt idx="2">
                  <c:v>293.25225888324877</c:v>
                </c:pt>
                <c:pt idx="3">
                  <c:v>330.65530303030295</c:v>
                </c:pt>
                <c:pt idx="4">
                  <c:v>349.61561712846395</c:v>
                </c:pt>
                <c:pt idx="5">
                  <c:v>388.6868112244901</c:v>
                </c:pt>
                <c:pt idx="6">
                  <c:v>526.66762886597905</c:v>
                </c:pt>
              </c:numCache>
            </c:numRef>
          </c:val>
          <c:smooth val="1"/>
          <c:extLst>
            <c:ext xmlns:c16="http://schemas.microsoft.com/office/drawing/2014/chart" uri="{C3380CC4-5D6E-409C-BE32-E72D297353CC}">
              <c16:uniqueId val="{00000000-6A68-4CB2-914D-8003521CD0F2}"/>
            </c:ext>
          </c:extLst>
        </c:ser>
        <c:dLbls>
          <c:showLegendKey val="0"/>
          <c:showVal val="0"/>
          <c:showCatName val="0"/>
          <c:showSerName val="0"/>
          <c:showPercent val="0"/>
          <c:showBubbleSize val="0"/>
        </c:dLbls>
        <c:marker val="1"/>
        <c:smooth val="0"/>
        <c:axId val="985841583"/>
        <c:axId val="985845423"/>
      </c:lineChart>
      <c:lineChart>
        <c:grouping val="standard"/>
        <c:varyColors val="0"/>
        <c:ser>
          <c:idx val="2"/>
          <c:order val="1"/>
          <c:tx>
            <c:strRef>
              <c:f>Sheet1!$E$1450</c:f>
              <c:strCache>
                <c:ptCount val="1"/>
                <c:pt idx="0">
                  <c:v>Small Companies</c:v>
                </c:pt>
              </c:strCache>
            </c:strRef>
          </c:tx>
          <c:spPr>
            <a:ln w="28575" cap="rnd">
              <a:solidFill>
                <a:srgbClr val="00B0F0"/>
              </a:solidFill>
              <a:round/>
            </a:ln>
            <a:effectLst/>
          </c:spPr>
          <c:marker>
            <c:symbol val="none"/>
          </c:marker>
          <c:cat>
            <c:numRef>
              <c:f>Sheet1!$C$1451:$C$1457</c:f>
              <c:numCache>
                <c:formatCode>General</c:formatCode>
                <c:ptCount val="7"/>
                <c:pt idx="0">
                  <c:v>2015</c:v>
                </c:pt>
                <c:pt idx="1">
                  <c:v>2016</c:v>
                </c:pt>
                <c:pt idx="2">
                  <c:v>2017</c:v>
                </c:pt>
                <c:pt idx="3">
                  <c:v>2018</c:v>
                </c:pt>
                <c:pt idx="4">
                  <c:v>2019</c:v>
                </c:pt>
                <c:pt idx="5">
                  <c:v>2020</c:v>
                </c:pt>
                <c:pt idx="6">
                  <c:v>2021</c:v>
                </c:pt>
              </c:numCache>
            </c:numRef>
          </c:cat>
          <c:val>
            <c:numRef>
              <c:f>Sheet1!$E$1451:$E$1457</c:f>
              <c:numCache>
                <c:formatCode>General</c:formatCode>
                <c:ptCount val="7"/>
                <c:pt idx="0">
                  <c:v>1.683662</c:v>
                </c:pt>
                <c:pt idx="1">
                  <c:v>2.2369040999999998</c:v>
                </c:pt>
                <c:pt idx="2">
                  <c:v>2.4960053000000002</c:v>
                </c:pt>
                <c:pt idx="3">
                  <c:v>3.0797593999999999</c:v>
                </c:pt>
                <c:pt idx="4">
                  <c:v>3.3213499</c:v>
                </c:pt>
                <c:pt idx="5">
                  <c:v>4.6995041999999998</c:v>
                </c:pt>
                <c:pt idx="6">
                  <c:v>5.7533184999999998</c:v>
                </c:pt>
              </c:numCache>
            </c:numRef>
          </c:val>
          <c:smooth val="1"/>
          <c:extLst>
            <c:ext xmlns:c16="http://schemas.microsoft.com/office/drawing/2014/chart" uri="{C3380CC4-5D6E-409C-BE32-E72D297353CC}">
              <c16:uniqueId val="{00000001-6A68-4CB2-914D-8003521CD0F2}"/>
            </c:ext>
          </c:extLst>
        </c:ser>
        <c:dLbls>
          <c:showLegendKey val="0"/>
          <c:showVal val="0"/>
          <c:showCatName val="0"/>
          <c:showSerName val="0"/>
          <c:showPercent val="0"/>
          <c:showBubbleSize val="0"/>
        </c:dLbls>
        <c:marker val="1"/>
        <c:smooth val="0"/>
        <c:axId val="976568799"/>
        <c:axId val="976581759"/>
      </c:lineChart>
      <c:catAx>
        <c:axId val="98584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85845423"/>
        <c:crosses val="autoZero"/>
        <c:auto val="1"/>
        <c:lblAlgn val="ctr"/>
        <c:lblOffset val="100"/>
        <c:noMultiLvlLbl val="0"/>
      </c:catAx>
      <c:valAx>
        <c:axId val="985845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85841583"/>
        <c:crosses val="autoZero"/>
        <c:crossBetween val="between"/>
      </c:valAx>
      <c:valAx>
        <c:axId val="97658175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76568799"/>
        <c:crosses val="max"/>
        <c:crossBetween val="between"/>
      </c:valAx>
      <c:catAx>
        <c:axId val="976568799"/>
        <c:scaling>
          <c:orientation val="minMax"/>
        </c:scaling>
        <c:delete val="1"/>
        <c:axPos val="b"/>
        <c:numFmt formatCode="General" sourceLinked="1"/>
        <c:majorTickMark val="out"/>
        <c:minorTickMark val="none"/>
        <c:tickLblPos val="nextTo"/>
        <c:crossAx val="976581759"/>
        <c:crosses val="autoZero"/>
        <c:auto val="1"/>
        <c:lblAlgn val="ctr"/>
        <c:lblOffset val="100"/>
        <c:noMultiLvlLbl val="0"/>
      </c:catAx>
      <c:spPr>
        <a:noFill/>
        <a:ln>
          <a:noFill/>
        </a:ln>
        <a:effectLst/>
      </c:spPr>
    </c:plotArea>
    <c:legend>
      <c:legendPos val="b"/>
      <c:layout>
        <c:manualLayout>
          <c:xMode val="edge"/>
          <c:yMode val="edge"/>
          <c:x val="0.14920756780402453"/>
          <c:y val="0.21358632254301541"/>
          <c:w val="0.58491797900262466"/>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Sheet1!$D$1461</c:f>
              <c:strCache>
                <c:ptCount val="1"/>
                <c:pt idx="0">
                  <c:v>ROG (large)</c:v>
                </c:pt>
              </c:strCache>
            </c:strRef>
          </c:tx>
          <c:spPr>
            <a:ln w="28575" cap="rnd">
              <a:solidFill>
                <a:schemeClr val="accent1"/>
              </a:solidFill>
              <a:round/>
            </a:ln>
            <a:effectLst/>
          </c:spPr>
          <c:marker>
            <c:symbol val="none"/>
          </c:marker>
          <c:cat>
            <c:numRef>
              <c:f>Sheet1!$C$1462:$C$1468</c:f>
              <c:numCache>
                <c:formatCode>General</c:formatCode>
                <c:ptCount val="7"/>
                <c:pt idx="0">
                  <c:v>2015</c:v>
                </c:pt>
                <c:pt idx="1">
                  <c:v>2016</c:v>
                </c:pt>
                <c:pt idx="2">
                  <c:v>2017</c:v>
                </c:pt>
                <c:pt idx="3">
                  <c:v>2018</c:v>
                </c:pt>
                <c:pt idx="4">
                  <c:v>2019</c:v>
                </c:pt>
                <c:pt idx="5">
                  <c:v>2020</c:v>
                </c:pt>
                <c:pt idx="6">
                  <c:v>2021</c:v>
                </c:pt>
              </c:numCache>
            </c:numRef>
          </c:cat>
          <c:val>
            <c:numRef>
              <c:f>Sheet1!$D$1462:$D$1468</c:f>
              <c:numCache>
                <c:formatCode>General</c:formatCode>
                <c:ptCount val="7"/>
                <c:pt idx="1">
                  <c:v>2.8340144973984356</c:v>
                </c:pt>
                <c:pt idx="2">
                  <c:v>-11.372130598728905</c:v>
                </c:pt>
                <c:pt idx="3">
                  <c:v>12.754563013253815</c:v>
                </c:pt>
                <c:pt idx="4">
                  <c:v>5.7341630164096857</c:v>
                </c:pt>
                <c:pt idx="5">
                  <c:v>11.175471627078288</c:v>
                </c:pt>
                <c:pt idx="6">
                  <c:v>35.499228082065464</c:v>
                </c:pt>
              </c:numCache>
            </c:numRef>
          </c:val>
          <c:smooth val="1"/>
          <c:extLst>
            <c:ext xmlns:c16="http://schemas.microsoft.com/office/drawing/2014/chart" uri="{C3380CC4-5D6E-409C-BE32-E72D297353CC}">
              <c16:uniqueId val="{00000000-1BFC-469D-AFC3-7ECAEDFDDB60}"/>
            </c:ext>
          </c:extLst>
        </c:ser>
        <c:ser>
          <c:idx val="1"/>
          <c:order val="1"/>
          <c:tx>
            <c:strRef>
              <c:f>Sheet1!$E$1461</c:f>
              <c:strCache>
                <c:ptCount val="1"/>
                <c:pt idx="0">
                  <c:v>ROG (Small)</c:v>
                </c:pt>
              </c:strCache>
            </c:strRef>
          </c:tx>
          <c:spPr>
            <a:ln w="28575" cap="rnd">
              <a:solidFill>
                <a:schemeClr val="accent2"/>
              </a:solidFill>
              <a:round/>
            </a:ln>
            <a:effectLst/>
          </c:spPr>
          <c:marker>
            <c:symbol val="none"/>
          </c:marker>
          <c:cat>
            <c:numRef>
              <c:f>Sheet1!$C$1462:$C$1468</c:f>
              <c:numCache>
                <c:formatCode>General</c:formatCode>
                <c:ptCount val="7"/>
                <c:pt idx="0">
                  <c:v>2015</c:v>
                </c:pt>
                <c:pt idx="1">
                  <c:v>2016</c:v>
                </c:pt>
                <c:pt idx="2">
                  <c:v>2017</c:v>
                </c:pt>
                <c:pt idx="3">
                  <c:v>2018</c:v>
                </c:pt>
                <c:pt idx="4">
                  <c:v>2019</c:v>
                </c:pt>
                <c:pt idx="5">
                  <c:v>2020</c:v>
                </c:pt>
                <c:pt idx="6">
                  <c:v>2021</c:v>
                </c:pt>
              </c:numCache>
            </c:numRef>
          </c:cat>
          <c:val>
            <c:numRef>
              <c:f>Sheet1!$E$1462:$E$1468</c:f>
              <c:numCache>
                <c:formatCode>General</c:formatCode>
                <c:ptCount val="7"/>
                <c:pt idx="1">
                  <c:v>32.859451600143011</c:v>
                </c:pt>
                <c:pt idx="2">
                  <c:v>11.583026737713091</c:v>
                </c:pt>
                <c:pt idx="3">
                  <c:v>18.954535864067815</c:v>
                </c:pt>
                <c:pt idx="4">
                  <c:v>7.8444601873769768</c:v>
                </c:pt>
                <c:pt idx="5">
                  <c:v>41.493800457458576</c:v>
                </c:pt>
                <c:pt idx="6">
                  <c:v>22.423946338849959</c:v>
                </c:pt>
              </c:numCache>
            </c:numRef>
          </c:val>
          <c:smooth val="1"/>
          <c:extLst>
            <c:ext xmlns:c16="http://schemas.microsoft.com/office/drawing/2014/chart" uri="{C3380CC4-5D6E-409C-BE32-E72D297353CC}">
              <c16:uniqueId val="{00000001-1BFC-469D-AFC3-7ECAEDFDDB60}"/>
            </c:ext>
          </c:extLst>
        </c:ser>
        <c:dLbls>
          <c:showLegendKey val="0"/>
          <c:showVal val="0"/>
          <c:showCatName val="0"/>
          <c:showSerName val="0"/>
          <c:showPercent val="0"/>
          <c:showBubbleSize val="0"/>
        </c:dLbls>
        <c:smooth val="0"/>
        <c:axId val="42731168"/>
        <c:axId val="42728288"/>
      </c:lineChart>
      <c:catAx>
        <c:axId val="4273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728288"/>
        <c:crosses val="autoZero"/>
        <c:auto val="1"/>
        <c:lblAlgn val="ctr"/>
        <c:lblOffset val="100"/>
        <c:noMultiLvlLbl val="0"/>
      </c:catAx>
      <c:valAx>
        <c:axId val="42728288"/>
        <c:scaling>
          <c:orientation val="minMax"/>
        </c:scaling>
        <c:delete val="0"/>
        <c:axPos val="l"/>
        <c:majorGridlines>
          <c:spPr>
            <a:ln w="9525" cap="flat" cmpd="sng" algn="ctr">
              <a:solidFill>
                <a:schemeClr val="tx1">
                  <a:lumMod val="15000"/>
                  <a:lumOff val="85000"/>
                </a:schemeClr>
              </a:solidFill>
              <a:round/>
            </a:ln>
            <a:effectLst>
              <a:softEdge rad="0"/>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731168"/>
        <c:crosses val="autoZero"/>
        <c:crossBetween val="between"/>
      </c:valAx>
      <c:spPr>
        <a:noFill/>
        <a:ln>
          <a:noFill/>
        </a:ln>
        <a:effectLst/>
      </c:spPr>
    </c:plotArea>
    <c:legend>
      <c:legendPos val="b"/>
      <c:layout>
        <c:manualLayout>
          <c:xMode val="edge"/>
          <c:yMode val="edge"/>
          <c:x val="0.31014829768092017"/>
          <c:y val="8.9652751104282682E-2"/>
          <c:w val="0.3797034046381596"/>
          <c:h val="6.43106635298636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'[interndataprocessing2 (1).xlsx]Sheet1'!$F$1982</c:f>
              <c:strCache>
                <c:ptCount val="1"/>
                <c:pt idx="0">
                  <c:v>empl(smll)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'[interndataprocessing2 (1).xlsx]Sheet1'!$E$1983:$E$1990</c:f>
              <c:numCache>
                <c:formatCode>General</c:formatCode>
                <c:ptCount val="8"/>
                <c:pt idx="0">
                  <c:v>2015</c:v>
                </c:pt>
                <c:pt idx="1">
                  <c:v>2016</c:v>
                </c:pt>
                <c:pt idx="2">
                  <c:v>2017</c:v>
                </c:pt>
                <c:pt idx="3">
                  <c:v>2018</c:v>
                </c:pt>
                <c:pt idx="4">
                  <c:v>2019</c:v>
                </c:pt>
                <c:pt idx="5">
                  <c:v>2020</c:v>
                </c:pt>
                <c:pt idx="6">
                  <c:v>2021</c:v>
                </c:pt>
                <c:pt idx="7">
                  <c:v>2022</c:v>
                </c:pt>
              </c:numCache>
            </c:numRef>
          </c:cat>
          <c:val>
            <c:numRef>
              <c:f>'[interndataprocessing2 (1).xlsx]Sheet1'!$F$1983:$F$1990</c:f>
              <c:numCache>
                <c:formatCode>General</c:formatCode>
                <c:ptCount val="8"/>
                <c:pt idx="0">
                  <c:v>67</c:v>
                </c:pt>
                <c:pt idx="1">
                  <c:v>69</c:v>
                </c:pt>
                <c:pt idx="2">
                  <c:v>73</c:v>
                </c:pt>
                <c:pt idx="3">
                  <c:v>77</c:v>
                </c:pt>
                <c:pt idx="4">
                  <c:v>81</c:v>
                </c:pt>
                <c:pt idx="5">
                  <c:v>65</c:v>
                </c:pt>
                <c:pt idx="6">
                  <c:v>74</c:v>
                </c:pt>
                <c:pt idx="7">
                  <c:v>83</c:v>
                </c:pt>
              </c:numCache>
            </c:numRef>
          </c:val>
          <c:extLst>
            <c:ext xmlns:c16="http://schemas.microsoft.com/office/drawing/2014/chart" uri="{C3380CC4-5D6E-409C-BE32-E72D297353CC}">
              <c16:uniqueId val="{00000000-DF6E-4174-8DA9-EE0FD29AC49D}"/>
            </c:ext>
          </c:extLst>
        </c:ser>
        <c:dLbls>
          <c:dLblPos val="ctr"/>
          <c:showLegendKey val="0"/>
          <c:showVal val="1"/>
          <c:showCatName val="0"/>
          <c:showSerName val="0"/>
          <c:showPercent val="0"/>
          <c:showBubbleSize val="0"/>
        </c:dLbls>
        <c:gapWidth val="150"/>
        <c:axId val="592669551"/>
        <c:axId val="592653711"/>
      </c:barChart>
      <c:catAx>
        <c:axId val="592669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53711"/>
        <c:crosses val="autoZero"/>
        <c:auto val="1"/>
        <c:lblAlgn val="ctr"/>
        <c:lblOffset val="100"/>
        <c:noMultiLvlLbl val="0"/>
      </c:catAx>
      <c:valAx>
        <c:axId val="592653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69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54387548690171E-2"/>
          <c:y val="5.0091074681238613E-2"/>
          <c:w val="0.89988276744069406"/>
          <c:h val="0.79565064612825032"/>
        </c:manualLayout>
      </c:layout>
      <c:lineChart>
        <c:grouping val="standard"/>
        <c:varyColors val="0"/>
        <c:ser>
          <c:idx val="0"/>
          <c:order val="0"/>
          <c:tx>
            <c:strRef>
              <c:f>'[interndataprocessing2 (1).xlsx]Sheet1'!$T$1989</c:f>
              <c:strCache>
                <c:ptCount val="1"/>
                <c:pt idx="0">
                  <c:v>small</c:v>
                </c:pt>
              </c:strCache>
            </c:strRef>
          </c:tx>
          <c:spPr>
            <a:ln w="28575" cap="rnd">
              <a:solidFill>
                <a:schemeClr val="accent1"/>
              </a:solidFill>
              <a:round/>
            </a:ln>
            <a:effectLst/>
          </c:spPr>
          <c:marker>
            <c:symbol val="none"/>
          </c:marker>
          <c:cat>
            <c:numRef>
              <c:f>'[interndataprocessing2 (1).xlsx]Sheet1'!$S$1990:$S$1995</c:f>
              <c:numCache>
                <c:formatCode>General</c:formatCode>
                <c:ptCount val="6"/>
                <c:pt idx="0">
                  <c:v>2016</c:v>
                </c:pt>
                <c:pt idx="1">
                  <c:v>2017</c:v>
                </c:pt>
                <c:pt idx="2">
                  <c:v>2018</c:v>
                </c:pt>
                <c:pt idx="3">
                  <c:v>2019</c:v>
                </c:pt>
                <c:pt idx="4">
                  <c:v>2020</c:v>
                </c:pt>
                <c:pt idx="5">
                  <c:v>2021</c:v>
                </c:pt>
              </c:numCache>
            </c:numRef>
          </c:cat>
          <c:val>
            <c:numRef>
              <c:f>'[interndataprocessing2 (1).xlsx]Sheet1'!$T$1990:$T$1995</c:f>
              <c:numCache>
                <c:formatCode>General</c:formatCode>
                <c:ptCount val="6"/>
                <c:pt idx="0">
                  <c:v>2.9850746268656718</c:v>
                </c:pt>
                <c:pt idx="1">
                  <c:v>5.7971014492753623</c:v>
                </c:pt>
                <c:pt idx="2">
                  <c:v>5.4794520547945202</c:v>
                </c:pt>
                <c:pt idx="3">
                  <c:v>5.1948051948051948</c:v>
                </c:pt>
                <c:pt idx="4">
                  <c:v>-19.753086419753085</c:v>
                </c:pt>
                <c:pt idx="5">
                  <c:v>13.846153846153847</c:v>
                </c:pt>
              </c:numCache>
            </c:numRef>
          </c:val>
          <c:smooth val="1"/>
          <c:extLst>
            <c:ext xmlns:c16="http://schemas.microsoft.com/office/drawing/2014/chart" uri="{C3380CC4-5D6E-409C-BE32-E72D297353CC}">
              <c16:uniqueId val="{00000000-5C59-4D28-B1FD-C40B82F0F4F4}"/>
            </c:ext>
          </c:extLst>
        </c:ser>
        <c:ser>
          <c:idx val="1"/>
          <c:order val="1"/>
          <c:tx>
            <c:strRef>
              <c:f>'[interndataprocessing2 (1).xlsx]Sheet1'!$U$1989</c:f>
              <c:strCache>
                <c:ptCount val="1"/>
                <c:pt idx="0">
                  <c:v>large</c:v>
                </c:pt>
              </c:strCache>
            </c:strRef>
          </c:tx>
          <c:spPr>
            <a:ln w="28575" cap="rnd">
              <a:solidFill>
                <a:schemeClr val="accent2"/>
              </a:solidFill>
              <a:round/>
            </a:ln>
            <a:effectLst/>
          </c:spPr>
          <c:marker>
            <c:symbol val="none"/>
          </c:marker>
          <c:cat>
            <c:numRef>
              <c:f>'[interndataprocessing2 (1).xlsx]Sheet1'!$S$1990:$S$1995</c:f>
              <c:numCache>
                <c:formatCode>General</c:formatCode>
                <c:ptCount val="6"/>
                <c:pt idx="0">
                  <c:v>2016</c:v>
                </c:pt>
                <c:pt idx="1">
                  <c:v>2017</c:v>
                </c:pt>
                <c:pt idx="2">
                  <c:v>2018</c:v>
                </c:pt>
                <c:pt idx="3">
                  <c:v>2019</c:v>
                </c:pt>
                <c:pt idx="4">
                  <c:v>2020</c:v>
                </c:pt>
                <c:pt idx="5">
                  <c:v>2021</c:v>
                </c:pt>
              </c:numCache>
            </c:numRef>
          </c:cat>
          <c:val>
            <c:numRef>
              <c:f>'[interndataprocessing2 (1).xlsx]Sheet1'!$U$1990:$U$1995</c:f>
              <c:numCache>
                <c:formatCode>General</c:formatCode>
                <c:ptCount val="6"/>
                <c:pt idx="0">
                  <c:v>8.7532249541512535</c:v>
                </c:pt>
                <c:pt idx="1">
                  <c:v>0.14005201932146225</c:v>
                </c:pt>
                <c:pt idx="2">
                  <c:v>17.076721086882063</c:v>
                </c:pt>
                <c:pt idx="3">
                  <c:v>1.90155781467125</c:v>
                </c:pt>
                <c:pt idx="4">
                  <c:v>-0.47130314122347422</c:v>
                </c:pt>
                <c:pt idx="5">
                  <c:v>7.4539685592038847</c:v>
                </c:pt>
              </c:numCache>
            </c:numRef>
          </c:val>
          <c:smooth val="1"/>
          <c:extLst>
            <c:ext xmlns:c16="http://schemas.microsoft.com/office/drawing/2014/chart" uri="{C3380CC4-5D6E-409C-BE32-E72D297353CC}">
              <c16:uniqueId val="{00000001-5C59-4D28-B1FD-C40B82F0F4F4}"/>
            </c:ext>
          </c:extLst>
        </c:ser>
        <c:dLbls>
          <c:showLegendKey val="0"/>
          <c:showVal val="0"/>
          <c:showCatName val="0"/>
          <c:showSerName val="0"/>
          <c:showPercent val="0"/>
          <c:showBubbleSize val="0"/>
        </c:dLbls>
        <c:smooth val="0"/>
        <c:axId val="1206482319"/>
        <c:axId val="1206492879"/>
      </c:lineChart>
      <c:catAx>
        <c:axId val="1206482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6492879"/>
        <c:crosses val="autoZero"/>
        <c:auto val="1"/>
        <c:lblAlgn val="ctr"/>
        <c:lblOffset val="100"/>
        <c:noMultiLvlLbl val="0"/>
      </c:catAx>
      <c:valAx>
        <c:axId val="1206492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6482319"/>
        <c:crosses val="autoZero"/>
        <c:crossBetween val="between"/>
      </c:valAx>
      <c:spPr>
        <a:noFill/>
        <a:ln>
          <a:noFill/>
        </a:ln>
        <a:effectLst/>
      </c:spPr>
    </c:plotArea>
    <c:legend>
      <c:legendPos val="b"/>
      <c:layout>
        <c:manualLayout>
          <c:xMode val="edge"/>
          <c:yMode val="edge"/>
          <c:x val="0.36721588844940262"/>
          <c:y val="0.86570621686995008"/>
          <c:w val="0.26556801900540039"/>
          <c:h val="0.10978397920848129"/>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58914481484204E-2"/>
          <c:y val="4.8888888888888891E-2"/>
          <c:w val="0.87370422155174532"/>
          <c:h val="0.8480076990376203"/>
        </c:manualLayout>
      </c:layout>
      <c:barChart>
        <c:barDir val="col"/>
        <c:grouping val="clustered"/>
        <c:varyColors val="0"/>
        <c:ser>
          <c:idx val="0"/>
          <c:order val="0"/>
          <c:tx>
            <c:strRef>
              <c:f>Sheet1!$Y$1977</c:f>
              <c:strCache>
                <c:ptCount val="1"/>
                <c:pt idx="0">
                  <c:v>employee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Sheet1!$X$1978:$X$1985</c:f>
              <c:numCache>
                <c:formatCode>General</c:formatCode>
                <c:ptCount val="8"/>
                <c:pt idx="0">
                  <c:v>2015</c:v>
                </c:pt>
                <c:pt idx="1">
                  <c:v>2016</c:v>
                </c:pt>
                <c:pt idx="2">
                  <c:v>2017</c:v>
                </c:pt>
                <c:pt idx="3">
                  <c:v>2018</c:v>
                </c:pt>
                <c:pt idx="4">
                  <c:v>2019</c:v>
                </c:pt>
                <c:pt idx="5">
                  <c:v>2020</c:v>
                </c:pt>
                <c:pt idx="6">
                  <c:v>2021</c:v>
                </c:pt>
                <c:pt idx="7">
                  <c:v>2022</c:v>
                </c:pt>
              </c:numCache>
            </c:numRef>
          </c:cat>
          <c:val>
            <c:numRef>
              <c:f>Sheet1!$Y$1978:$Y$1985</c:f>
              <c:numCache>
                <c:formatCode>General</c:formatCode>
                <c:ptCount val="8"/>
                <c:pt idx="0">
                  <c:v>32171</c:v>
                </c:pt>
                <c:pt idx="1">
                  <c:v>34987</c:v>
                </c:pt>
                <c:pt idx="2">
                  <c:v>35036</c:v>
                </c:pt>
                <c:pt idx="3">
                  <c:v>41019</c:v>
                </c:pt>
                <c:pt idx="4">
                  <c:v>41799</c:v>
                </c:pt>
                <c:pt idx="5">
                  <c:v>41602</c:v>
                </c:pt>
                <c:pt idx="6">
                  <c:v>44703</c:v>
                </c:pt>
                <c:pt idx="7">
                  <c:v>45708</c:v>
                </c:pt>
              </c:numCache>
            </c:numRef>
          </c:val>
          <c:extLst>
            <c:ext xmlns:c16="http://schemas.microsoft.com/office/drawing/2014/chart" uri="{C3380CC4-5D6E-409C-BE32-E72D297353CC}">
              <c16:uniqueId val="{00000000-EDCA-4CAC-82A5-9FBB57B120A8}"/>
            </c:ext>
          </c:extLst>
        </c:ser>
        <c:dLbls>
          <c:dLblPos val="ctr"/>
          <c:showLegendKey val="0"/>
          <c:showVal val="1"/>
          <c:showCatName val="0"/>
          <c:showSerName val="0"/>
          <c:showPercent val="0"/>
          <c:showBubbleSize val="0"/>
        </c:dLbls>
        <c:gapWidth val="219"/>
        <c:overlap val="-27"/>
        <c:axId val="592656591"/>
        <c:axId val="592658511"/>
      </c:barChart>
      <c:catAx>
        <c:axId val="592656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58511"/>
        <c:crosses val="autoZero"/>
        <c:auto val="1"/>
        <c:lblAlgn val="ctr"/>
        <c:lblOffset val="100"/>
        <c:noMultiLvlLbl val="0"/>
      </c:catAx>
      <c:valAx>
        <c:axId val="592658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565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8162254142532E-2"/>
          <c:y val="0.23088679394180914"/>
          <c:w val="0.84652047062538438"/>
          <c:h val="0.62470302385073229"/>
        </c:manualLayout>
      </c:layout>
      <c:lineChart>
        <c:grouping val="standard"/>
        <c:varyColors val="0"/>
        <c:ser>
          <c:idx val="0"/>
          <c:order val="0"/>
          <c:tx>
            <c:strRef>
              <c:f>'[interndataprocessing2 (1).xlsx]Sheet1'!$F$3990</c:f>
              <c:strCache>
                <c:ptCount val="1"/>
                <c:pt idx="0">
                  <c:v>exports (large)</c:v>
                </c:pt>
              </c:strCache>
            </c:strRef>
          </c:tx>
          <c:spPr>
            <a:ln w="28575" cap="rnd">
              <a:solidFill>
                <a:schemeClr val="accent1"/>
              </a:solidFill>
              <a:round/>
            </a:ln>
            <a:effectLst/>
          </c:spPr>
          <c:marker>
            <c:symbol val="none"/>
          </c:marker>
          <c:cat>
            <c:numRef>
              <c:f>'[interndataprocessing2 (1).xlsx]Sheet1'!$E$3991:$E$3997</c:f>
              <c:numCache>
                <c:formatCode>General</c:formatCode>
                <c:ptCount val="7"/>
                <c:pt idx="0">
                  <c:v>2016</c:v>
                </c:pt>
                <c:pt idx="1">
                  <c:v>2017</c:v>
                </c:pt>
                <c:pt idx="2">
                  <c:v>2018</c:v>
                </c:pt>
                <c:pt idx="3">
                  <c:v>2019</c:v>
                </c:pt>
                <c:pt idx="4">
                  <c:v>2020</c:v>
                </c:pt>
                <c:pt idx="5">
                  <c:v>2021</c:v>
                </c:pt>
                <c:pt idx="6">
                  <c:v>2022</c:v>
                </c:pt>
              </c:numCache>
            </c:numRef>
          </c:cat>
          <c:val>
            <c:numRef>
              <c:f>'[interndataprocessing2 (1).xlsx]Sheet1'!$F$3991:$F$3997</c:f>
              <c:numCache>
                <c:formatCode>General</c:formatCode>
                <c:ptCount val="7"/>
                <c:pt idx="0">
                  <c:v>667.98199999999997</c:v>
                </c:pt>
                <c:pt idx="1">
                  <c:v>718.851</c:v>
                </c:pt>
                <c:pt idx="2">
                  <c:v>838.08</c:v>
                </c:pt>
                <c:pt idx="3">
                  <c:v>991.34199999999998</c:v>
                </c:pt>
                <c:pt idx="4">
                  <c:v>907.41099999999994</c:v>
                </c:pt>
                <c:pt idx="5">
                  <c:v>1116.69</c:v>
                </c:pt>
                <c:pt idx="6">
                  <c:v>1113.7</c:v>
                </c:pt>
              </c:numCache>
            </c:numRef>
          </c:val>
          <c:smooth val="1"/>
          <c:extLst>
            <c:ext xmlns:c16="http://schemas.microsoft.com/office/drawing/2014/chart" uri="{C3380CC4-5D6E-409C-BE32-E72D297353CC}">
              <c16:uniqueId val="{00000000-0AAA-45F1-BBC1-F8457288D080}"/>
            </c:ext>
          </c:extLst>
        </c:ser>
        <c:dLbls>
          <c:showLegendKey val="0"/>
          <c:showVal val="0"/>
          <c:showCatName val="0"/>
          <c:showSerName val="0"/>
          <c:showPercent val="0"/>
          <c:showBubbleSize val="0"/>
        </c:dLbls>
        <c:smooth val="0"/>
        <c:axId val="642901919"/>
        <c:axId val="642899039"/>
      </c:lineChart>
      <c:catAx>
        <c:axId val="642901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2899039"/>
        <c:crosses val="autoZero"/>
        <c:auto val="1"/>
        <c:lblAlgn val="ctr"/>
        <c:lblOffset val="100"/>
        <c:noMultiLvlLbl val="0"/>
      </c:catAx>
      <c:valAx>
        <c:axId val="642899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2901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8047111199709"/>
          <c:y val="6.3463720260773848E-2"/>
          <c:w val="0.82570928633920759"/>
          <c:h val="0.79052609891340386"/>
        </c:manualLayout>
      </c:layout>
      <c:lineChart>
        <c:grouping val="standard"/>
        <c:varyColors val="0"/>
        <c:ser>
          <c:idx val="0"/>
          <c:order val="0"/>
          <c:tx>
            <c:strRef>
              <c:f>'[interndataprocessing2 (1).xlsx]Sheet1'!$F$3978</c:f>
              <c:strCache>
                <c:ptCount val="1"/>
                <c:pt idx="0">
                  <c:v>exports small</c:v>
                </c:pt>
              </c:strCache>
            </c:strRef>
          </c:tx>
          <c:spPr>
            <a:ln w="28575" cap="rnd">
              <a:solidFill>
                <a:schemeClr val="accent1"/>
              </a:solidFill>
              <a:round/>
            </a:ln>
            <a:effectLst/>
          </c:spPr>
          <c:marker>
            <c:symbol val="none"/>
          </c:marker>
          <c:cat>
            <c:numRef>
              <c:f>'[interndataprocessing2 (1).xlsx]Sheet1'!$E$3979:$E$3985</c:f>
              <c:numCache>
                <c:formatCode>General</c:formatCode>
                <c:ptCount val="7"/>
                <c:pt idx="0">
                  <c:v>2016</c:v>
                </c:pt>
                <c:pt idx="1">
                  <c:v>2017</c:v>
                </c:pt>
                <c:pt idx="2">
                  <c:v>2018</c:v>
                </c:pt>
                <c:pt idx="3">
                  <c:v>2019</c:v>
                </c:pt>
                <c:pt idx="4">
                  <c:v>2020</c:v>
                </c:pt>
                <c:pt idx="5">
                  <c:v>2021</c:v>
                </c:pt>
                <c:pt idx="6">
                  <c:v>2022</c:v>
                </c:pt>
              </c:numCache>
            </c:numRef>
          </c:cat>
          <c:val>
            <c:numRef>
              <c:f>'[interndataprocessing2 (1).xlsx]Sheet1'!$F$3979:$F$3985</c:f>
              <c:numCache>
                <c:formatCode>General</c:formatCode>
                <c:ptCount val="7"/>
                <c:pt idx="0">
                  <c:v>31.207999999999998</c:v>
                </c:pt>
                <c:pt idx="1">
                  <c:v>33.770000000000003</c:v>
                </c:pt>
                <c:pt idx="2">
                  <c:v>63.764000000000003</c:v>
                </c:pt>
                <c:pt idx="3">
                  <c:v>129.602</c:v>
                </c:pt>
                <c:pt idx="4">
                  <c:v>85.703000000000003</c:v>
                </c:pt>
                <c:pt idx="5">
                  <c:v>113.79</c:v>
                </c:pt>
                <c:pt idx="6">
                  <c:v>118.875</c:v>
                </c:pt>
              </c:numCache>
            </c:numRef>
          </c:val>
          <c:smooth val="1"/>
          <c:extLst>
            <c:ext xmlns:c16="http://schemas.microsoft.com/office/drawing/2014/chart" uri="{C3380CC4-5D6E-409C-BE32-E72D297353CC}">
              <c16:uniqueId val="{00000000-9B60-4053-B9F8-D866585266C0}"/>
            </c:ext>
          </c:extLst>
        </c:ser>
        <c:dLbls>
          <c:showLegendKey val="0"/>
          <c:showVal val="0"/>
          <c:showCatName val="0"/>
          <c:showSerName val="0"/>
          <c:showPercent val="0"/>
          <c:showBubbleSize val="0"/>
        </c:dLbls>
        <c:smooth val="0"/>
        <c:axId val="642894719"/>
        <c:axId val="642899999"/>
      </c:lineChart>
      <c:catAx>
        <c:axId val="64289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2899999"/>
        <c:crosses val="autoZero"/>
        <c:auto val="1"/>
        <c:lblAlgn val="ctr"/>
        <c:lblOffset val="100"/>
        <c:noMultiLvlLbl val="0"/>
      </c:catAx>
      <c:valAx>
        <c:axId val="642899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2894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'[interndataprocessing2 (1).xlsx]Sheet1'!$H$3978</c:f>
              <c:strCache>
                <c:ptCount val="1"/>
                <c:pt idx="0">
                  <c:v>small</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no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'[interndataprocessing2 (1).xlsx]Sheet1'!$G$3979:$G$3985</c:f>
              <c:numCache>
                <c:formatCode>General</c:formatCode>
                <c:ptCount val="7"/>
                <c:pt idx="0">
                  <c:v>2016</c:v>
                </c:pt>
                <c:pt idx="1">
                  <c:v>2017</c:v>
                </c:pt>
                <c:pt idx="2">
                  <c:v>2018</c:v>
                </c:pt>
                <c:pt idx="3">
                  <c:v>2019</c:v>
                </c:pt>
                <c:pt idx="4">
                  <c:v>2020</c:v>
                </c:pt>
                <c:pt idx="5">
                  <c:v>2021</c:v>
                </c:pt>
                <c:pt idx="6">
                  <c:v>2022</c:v>
                </c:pt>
              </c:numCache>
            </c:numRef>
          </c:cat>
          <c:val>
            <c:numRef>
              <c:f>'[interndataprocessing2 (1).xlsx]Sheet1'!$H$3979:$H$3985</c:f>
              <c:numCache>
                <c:formatCode>General</c:formatCode>
                <c:ptCount val="7"/>
                <c:pt idx="1">
                  <c:v>8.2094334785952476</c:v>
                </c:pt>
                <c:pt idx="2">
                  <c:v>88.818477938999109</c:v>
                </c:pt>
                <c:pt idx="3">
                  <c:v>103.252619032683</c:v>
                </c:pt>
                <c:pt idx="4">
                  <c:v>-33.872162466628595</c:v>
                </c:pt>
                <c:pt idx="5">
                  <c:v>32.772481710091832</c:v>
                </c:pt>
                <c:pt idx="6">
                  <c:v>4.4687582388610538</c:v>
                </c:pt>
              </c:numCache>
            </c:numRef>
          </c:val>
          <c:smooth val="1"/>
          <c:extLst>
            <c:ext xmlns:c16="http://schemas.microsoft.com/office/drawing/2014/chart" uri="{C3380CC4-5D6E-409C-BE32-E72D297353CC}">
              <c16:uniqueId val="{00000000-C6AF-45B0-A901-6781AE2EE389}"/>
            </c:ext>
          </c:extLst>
        </c:ser>
        <c:ser>
          <c:idx val="1"/>
          <c:order val="1"/>
          <c:tx>
            <c:strRef>
              <c:f>'[interndataprocessing2 (1).xlsx]Sheet1'!$I$3978</c:f>
              <c:strCache>
                <c:ptCount val="1"/>
                <c:pt idx="0">
                  <c:v>large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no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'[interndataprocessing2 (1).xlsx]Sheet1'!$G$3979:$G$3985</c:f>
              <c:numCache>
                <c:formatCode>General</c:formatCode>
                <c:ptCount val="7"/>
                <c:pt idx="0">
                  <c:v>2016</c:v>
                </c:pt>
                <c:pt idx="1">
                  <c:v>2017</c:v>
                </c:pt>
                <c:pt idx="2">
                  <c:v>2018</c:v>
                </c:pt>
                <c:pt idx="3">
                  <c:v>2019</c:v>
                </c:pt>
                <c:pt idx="4">
                  <c:v>2020</c:v>
                </c:pt>
                <c:pt idx="5">
                  <c:v>2021</c:v>
                </c:pt>
                <c:pt idx="6">
                  <c:v>2022</c:v>
                </c:pt>
              </c:numCache>
            </c:numRef>
          </c:cat>
          <c:val>
            <c:numRef>
              <c:f>'[interndataprocessing2 (1).xlsx]Sheet1'!$I$3979:$I$3985</c:f>
              <c:numCache>
                <c:formatCode>General</c:formatCode>
                <c:ptCount val="7"/>
                <c:pt idx="1">
                  <c:v>7.6153249638463363</c:v>
                </c:pt>
                <c:pt idx="2">
                  <c:v>16.586051907836261</c:v>
                </c:pt>
                <c:pt idx="3">
                  <c:v>18.287275677739586</c:v>
                </c:pt>
                <c:pt idx="4">
                  <c:v>-8.4664021094637416</c:v>
                </c:pt>
                <c:pt idx="5">
                  <c:v>23.063308688124799</c:v>
                </c:pt>
                <c:pt idx="6">
                  <c:v>-0.26775559913673525</c:v>
                </c:pt>
              </c:numCache>
            </c:numRef>
          </c:val>
          <c:smooth val="1"/>
          <c:extLst>
            <c:ext xmlns:c16="http://schemas.microsoft.com/office/drawing/2014/chart" uri="{C3380CC4-5D6E-409C-BE32-E72D297353CC}">
              <c16:uniqueId val="{00000001-C6AF-45B0-A901-6781AE2EE389}"/>
            </c:ext>
          </c:extLst>
        </c:ser>
        <c:dLbls>
          <c:dLblPos val="ctr"/>
          <c:showLegendKey val="0"/>
          <c:showVal val="1"/>
          <c:showCatName val="0"/>
          <c:showSerName val="0"/>
          <c:showPercent val="0"/>
          <c:showBubbleSize val="0"/>
        </c:dLbls>
        <c:smooth val="0"/>
        <c:axId val="592655151"/>
        <c:axId val="592659951"/>
      </c:lineChart>
      <c:catAx>
        <c:axId val="59265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59951"/>
        <c:crosses val="autoZero"/>
        <c:auto val="1"/>
        <c:lblAlgn val="ctr"/>
        <c:lblOffset val="100"/>
        <c:noMultiLvlLbl val="0"/>
      </c:catAx>
      <c:valAx>
        <c:axId val="59265995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65515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dk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EE28-7884-4217-AECB-3C1D29D5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Ashmil Shas Ahammad</dc:creator>
  <cp:keywords/>
  <dc:description/>
  <cp:lastModifiedBy>ashmilshasahammad@gmail.com</cp:lastModifiedBy>
  <cp:revision>3</cp:revision>
  <cp:lastPrinted>2023-07-25T16:35:00Z</cp:lastPrinted>
  <dcterms:created xsi:type="dcterms:W3CDTF">2023-07-26T15:25:00Z</dcterms:created>
  <dcterms:modified xsi:type="dcterms:W3CDTF">2023-07-30T17:20:00Z</dcterms:modified>
</cp:coreProperties>
</file>